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719A" w14:textId="77777777" w:rsidR="009676A4" w:rsidRPr="00DB076C" w:rsidRDefault="00730A17" w:rsidP="00EA02E6">
      <w:pPr>
        <w:jc w:val="center"/>
        <w:rPr>
          <w:rFonts w:ascii="Times New Roman" w:hAnsi="Times New Roman" w:cs="Times New Roman"/>
          <w:b/>
          <w:szCs w:val="20"/>
          <w:lang w:val="en-US"/>
        </w:rPr>
      </w:pPr>
      <w:r w:rsidRPr="00DB076C">
        <w:rPr>
          <w:rFonts w:ascii="Times New Roman" w:hAnsi="Times New Roman" w:cs="Times New Roman"/>
          <w:b/>
          <w:szCs w:val="20"/>
          <w:lang w:val="en-US"/>
        </w:rPr>
        <w:t>Slovak Republic - INSPIRE Action Plan 2016 - 2021</w:t>
      </w:r>
    </w:p>
    <w:p w14:paraId="7CD5E713" w14:textId="77777777" w:rsidR="00730A17" w:rsidRPr="00DB076C" w:rsidRDefault="00730A17">
      <w:pPr>
        <w:rPr>
          <w:rFonts w:ascii="Times New Roman" w:hAnsi="Times New Roman" w:cs="Times New Roman"/>
          <w:szCs w:val="20"/>
          <w:lang w:val="en-US"/>
        </w:rPr>
      </w:pPr>
    </w:p>
    <w:p w14:paraId="350EC4B4" w14:textId="77777777" w:rsidR="00730A17" w:rsidRPr="00DB076C" w:rsidRDefault="00730A17">
      <w:pPr>
        <w:rPr>
          <w:rFonts w:ascii="Times New Roman" w:hAnsi="Times New Roman" w:cs="Times New Roman"/>
          <w:szCs w:val="20"/>
          <w:lang w:val="en-US"/>
        </w:rPr>
      </w:pPr>
    </w:p>
    <w:p w14:paraId="129D1086" w14:textId="77777777" w:rsidR="00730A17" w:rsidRPr="00DB076C" w:rsidRDefault="00730A17" w:rsidP="006C6B10">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In connection to the actions resulting from the bilateral meeting between </w:t>
      </w:r>
      <w:r w:rsidR="00A339C3" w:rsidRPr="00DB076C">
        <w:rPr>
          <w:rFonts w:ascii="Times New Roman" w:hAnsi="Times New Roman" w:cs="Times New Roman"/>
          <w:szCs w:val="20"/>
          <w:lang w:val="en-US"/>
        </w:rPr>
        <w:t xml:space="preserve">European </w:t>
      </w:r>
      <w:r w:rsidRPr="00DB076C">
        <w:rPr>
          <w:rFonts w:ascii="Times New Roman" w:hAnsi="Times New Roman" w:cs="Times New Roman"/>
          <w:szCs w:val="20"/>
          <w:lang w:val="en-US"/>
        </w:rPr>
        <w:t>Commission</w:t>
      </w:r>
      <w:r w:rsidR="00A339C3" w:rsidRPr="00DB076C">
        <w:rPr>
          <w:rFonts w:ascii="Times New Roman" w:hAnsi="Times New Roman" w:cs="Times New Roman"/>
          <w:szCs w:val="20"/>
          <w:lang w:val="en-US"/>
        </w:rPr>
        <w:t xml:space="preserve"> (EC)</w:t>
      </w:r>
      <w:r w:rsidRPr="00DB076C">
        <w:rPr>
          <w:rFonts w:ascii="Times New Roman" w:hAnsi="Times New Roman" w:cs="Times New Roman"/>
          <w:szCs w:val="20"/>
          <w:lang w:val="en-US"/>
        </w:rPr>
        <w:t xml:space="preserve"> and SK on the implementation of the INSPIRE Directive, held on 11th of March in Brussels</w:t>
      </w:r>
      <w:r w:rsidR="00D17AFB" w:rsidRPr="00DB076C">
        <w:rPr>
          <w:rFonts w:ascii="Times New Roman" w:hAnsi="Times New Roman" w:cs="Times New Roman"/>
          <w:szCs w:val="20"/>
          <w:lang w:val="en-US"/>
        </w:rPr>
        <w:t>,</w:t>
      </w:r>
      <w:r w:rsidRPr="00DB076C">
        <w:rPr>
          <w:rFonts w:ascii="Times New Roman" w:hAnsi="Times New Roman" w:cs="Times New Roman"/>
          <w:szCs w:val="20"/>
          <w:lang w:val="en-US"/>
        </w:rPr>
        <w:t xml:space="preserve"> Slovakia is submitting following INSPIRE Action plan 2016 - 2021.</w:t>
      </w:r>
    </w:p>
    <w:p w14:paraId="2E8FA412" w14:textId="77777777" w:rsidR="00730A17" w:rsidRPr="00DB076C" w:rsidRDefault="00730A17" w:rsidP="006C6B10">
      <w:pPr>
        <w:jc w:val="both"/>
        <w:rPr>
          <w:rFonts w:ascii="Times New Roman" w:hAnsi="Times New Roman" w:cs="Times New Roman"/>
          <w:szCs w:val="20"/>
          <w:lang w:val="en-US"/>
        </w:rPr>
      </w:pPr>
    </w:p>
    <w:p w14:paraId="579613A4" w14:textId="77777777" w:rsidR="00730A17" w:rsidRPr="00DB076C" w:rsidRDefault="00730A17" w:rsidP="006C6B10">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Main objective of this SK INSPIRE Action Plan is to present the </w:t>
      </w:r>
      <w:r w:rsidR="006C6B10" w:rsidRPr="00DB076C">
        <w:rPr>
          <w:rFonts w:ascii="Times New Roman" w:hAnsi="Times New Roman" w:cs="Times New Roman"/>
          <w:szCs w:val="20"/>
          <w:lang w:val="en-US"/>
        </w:rPr>
        <w:t>set of foreseen activities</w:t>
      </w:r>
      <w:r w:rsidRPr="00DB076C">
        <w:rPr>
          <w:rFonts w:ascii="Times New Roman" w:hAnsi="Times New Roman" w:cs="Times New Roman"/>
          <w:szCs w:val="20"/>
          <w:lang w:val="en-US"/>
        </w:rPr>
        <w:t xml:space="preserve"> where Slovak Republic aims to address remaining implementation gaps discussed at the meeting as soon as possible with particular view of the priority-setting on those data sets which are relevant for EU environment legislation. The action plan together with the timetable for actions will be communicated along with the next INSPIRE implementation report in May 2016</w:t>
      </w:r>
      <w:r w:rsidR="006C6B10" w:rsidRPr="00DB076C">
        <w:rPr>
          <w:rFonts w:ascii="Times New Roman" w:hAnsi="Times New Roman" w:cs="Times New Roman"/>
          <w:szCs w:val="20"/>
          <w:lang w:val="en-US"/>
        </w:rPr>
        <w:t>.</w:t>
      </w:r>
    </w:p>
    <w:p w14:paraId="337C50E6" w14:textId="77777777" w:rsidR="006C6B10" w:rsidRPr="00DB076C" w:rsidRDefault="006C6B10" w:rsidP="006C6B10">
      <w:pPr>
        <w:jc w:val="both"/>
        <w:rPr>
          <w:rFonts w:ascii="Times New Roman" w:hAnsi="Times New Roman" w:cs="Times New Roman"/>
          <w:szCs w:val="20"/>
          <w:lang w:val="en-US"/>
        </w:rPr>
      </w:pPr>
    </w:p>
    <w:p w14:paraId="4338449F" w14:textId="77777777" w:rsidR="006C6B10" w:rsidRPr="00DB076C" w:rsidRDefault="006C6B10" w:rsidP="006C6B10">
      <w:pPr>
        <w:jc w:val="both"/>
        <w:rPr>
          <w:rFonts w:ascii="Times New Roman" w:hAnsi="Times New Roman" w:cs="Times New Roman"/>
          <w:b/>
          <w:szCs w:val="20"/>
          <w:lang w:val="en-US"/>
        </w:rPr>
      </w:pPr>
      <w:r w:rsidRPr="00DB076C">
        <w:rPr>
          <w:rFonts w:ascii="Times New Roman" w:hAnsi="Times New Roman" w:cs="Times New Roman"/>
          <w:b/>
          <w:szCs w:val="20"/>
          <w:lang w:val="en-US"/>
        </w:rPr>
        <w:t>Setting the scene and way forward</w:t>
      </w:r>
    </w:p>
    <w:p w14:paraId="60AD6306" w14:textId="77777777" w:rsidR="006C6B10" w:rsidRPr="00DB076C" w:rsidRDefault="006C6B10" w:rsidP="006C6B10">
      <w:pPr>
        <w:jc w:val="both"/>
        <w:rPr>
          <w:rFonts w:ascii="Times New Roman" w:hAnsi="Times New Roman" w:cs="Times New Roman"/>
          <w:szCs w:val="20"/>
          <w:lang w:val="en-US"/>
        </w:rPr>
      </w:pPr>
    </w:p>
    <w:p w14:paraId="76BCC028" w14:textId="77777777" w:rsidR="00F61E99" w:rsidRPr="00DB076C" w:rsidRDefault="00794BC5" w:rsidP="006C6B10">
      <w:pPr>
        <w:jc w:val="both"/>
        <w:rPr>
          <w:rFonts w:ascii="Times New Roman" w:hAnsi="Times New Roman" w:cs="Times New Roman"/>
          <w:szCs w:val="20"/>
          <w:lang w:val="en-US"/>
        </w:rPr>
      </w:pPr>
      <w:r w:rsidRPr="00DB076C">
        <w:rPr>
          <w:rFonts w:ascii="Times New Roman" w:hAnsi="Times New Roman" w:cs="Times New Roman"/>
          <w:szCs w:val="20"/>
          <w:lang w:val="en-US"/>
        </w:rPr>
        <w:t>INSPIRE framework in Slovakia was formally established by transposition of INSPIRE Directive six years ago with the dedicated Law on National Spatial Information Infrastructure</w:t>
      </w:r>
      <w:r w:rsidR="00B25BB0" w:rsidRPr="00DB076C">
        <w:rPr>
          <w:rFonts w:ascii="Times New Roman" w:hAnsi="Times New Roman" w:cs="Times New Roman"/>
          <w:szCs w:val="20"/>
          <w:lang w:val="en-US"/>
        </w:rPr>
        <w:t xml:space="preserve"> (NIPI)</w:t>
      </w:r>
      <w:r w:rsidRPr="00DB076C">
        <w:rPr>
          <w:rFonts w:ascii="Times New Roman" w:hAnsi="Times New Roman" w:cs="Times New Roman"/>
          <w:szCs w:val="20"/>
          <w:lang w:val="en-US"/>
        </w:rPr>
        <w:t xml:space="preserve"> (Law No.3/2010 Coll.) and related Decree (No.352/2011 Coll.). Main responsibility for the INSPIRE implementation and coordination was assigned to the Ministry of the Environment (</w:t>
      </w:r>
      <w:proofErr w:type="spellStart"/>
      <w:r w:rsidRPr="00DB076C">
        <w:rPr>
          <w:rFonts w:ascii="Times New Roman" w:hAnsi="Times New Roman" w:cs="Times New Roman"/>
          <w:szCs w:val="20"/>
          <w:lang w:val="en-US"/>
        </w:rPr>
        <w:t>MoE</w:t>
      </w:r>
      <w:proofErr w:type="spellEnd"/>
      <w:r w:rsidRPr="00DB076C">
        <w:rPr>
          <w:rFonts w:ascii="Times New Roman" w:hAnsi="Times New Roman" w:cs="Times New Roman"/>
          <w:szCs w:val="20"/>
          <w:lang w:val="en-US"/>
        </w:rPr>
        <w:t xml:space="preserve">), supported with the </w:t>
      </w:r>
      <w:r w:rsidR="00B25BB0" w:rsidRPr="00DB076C">
        <w:rPr>
          <w:rFonts w:ascii="Times New Roman" w:hAnsi="Times New Roman" w:cs="Times New Roman"/>
          <w:szCs w:val="20"/>
          <w:lang w:val="en-US"/>
        </w:rPr>
        <w:t xml:space="preserve">Coordination Council (KR NIPI). KR NIPI is representing the main central authorities, including the representation of local governance. </w:t>
      </w:r>
    </w:p>
    <w:p w14:paraId="4224BCB6" w14:textId="77777777" w:rsidR="00794BC5" w:rsidRPr="00DB076C" w:rsidRDefault="00B25BB0" w:rsidP="006C6B10">
      <w:pPr>
        <w:jc w:val="both"/>
        <w:rPr>
          <w:rFonts w:ascii="Times New Roman" w:hAnsi="Times New Roman" w:cs="Times New Roman"/>
          <w:szCs w:val="20"/>
          <w:lang w:val="en-US"/>
        </w:rPr>
      </w:pPr>
      <w:r w:rsidRPr="00DB076C">
        <w:rPr>
          <w:rFonts w:ascii="Times New Roman" w:hAnsi="Times New Roman" w:cs="Times New Roman"/>
          <w:b/>
          <w:szCs w:val="20"/>
          <w:lang w:val="en-US"/>
        </w:rPr>
        <w:t xml:space="preserve">In agreement with </w:t>
      </w:r>
      <w:proofErr w:type="spellStart"/>
      <w:r w:rsidRPr="00DB076C">
        <w:rPr>
          <w:rFonts w:ascii="Times New Roman" w:hAnsi="Times New Roman" w:cs="Times New Roman"/>
          <w:b/>
          <w:szCs w:val="20"/>
          <w:lang w:val="en-US"/>
        </w:rPr>
        <w:t>MoE</w:t>
      </w:r>
      <w:proofErr w:type="spellEnd"/>
      <w:r w:rsidRPr="00DB076C">
        <w:rPr>
          <w:rFonts w:ascii="Times New Roman" w:hAnsi="Times New Roman" w:cs="Times New Roman"/>
          <w:b/>
          <w:szCs w:val="20"/>
          <w:lang w:val="en-US"/>
        </w:rPr>
        <w:t>, Slovak Environment Agency (SAZP)</w:t>
      </w:r>
      <w:r w:rsidRPr="00DB076C">
        <w:rPr>
          <w:rFonts w:ascii="Times New Roman" w:hAnsi="Times New Roman" w:cs="Times New Roman"/>
          <w:szCs w:val="20"/>
          <w:lang w:val="en-US"/>
        </w:rPr>
        <w:t xml:space="preserve"> is in charge of National INSPIRE </w:t>
      </w:r>
      <w:proofErr w:type="spellStart"/>
      <w:r w:rsidRPr="00DB076C">
        <w:rPr>
          <w:rFonts w:ascii="Times New Roman" w:hAnsi="Times New Roman" w:cs="Times New Roman"/>
          <w:szCs w:val="20"/>
          <w:lang w:val="en-US"/>
        </w:rPr>
        <w:t>Geoportal</w:t>
      </w:r>
      <w:proofErr w:type="spellEnd"/>
      <w:r w:rsidRPr="00DB076C">
        <w:rPr>
          <w:rFonts w:ascii="Times New Roman" w:hAnsi="Times New Roman" w:cs="Times New Roman"/>
          <w:szCs w:val="20"/>
          <w:lang w:val="en-US"/>
        </w:rPr>
        <w:t xml:space="preserve"> maintenance, communication with the Slovakian stakeholders, communication with DG ENV and JRC, and primary contacts in both Maintenance and Implementation Group (MIG) political and technical. </w:t>
      </w:r>
    </w:p>
    <w:p w14:paraId="16686777" w14:textId="77777777" w:rsidR="006C6B10" w:rsidRPr="00DB076C" w:rsidRDefault="00B25BB0" w:rsidP="006C6B10">
      <w:pPr>
        <w:jc w:val="both"/>
        <w:rPr>
          <w:rFonts w:ascii="Times New Roman" w:hAnsi="Times New Roman" w:cs="Times New Roman"/>
          <w:szCs w:val="20"/>
          <w:lang w:val="en-US"/>
        </w:rPr>
      </w:pPr>
      <w:r w:rsidRPr="00DB076C">
        <w:rPr>
          <w:rFonts w:ascii="Times New Roman" w:hAnsi="Times New Roman" w:cs="Times New Roman"/>
          <w:b/>
          <w:szCs w:val="20"/>
          <w:lang w:val="en-US"/>
        </w:rPr>
        <w:t>Geodesy, Cartography and Cadastre Authority of Slovak Republic (GCCA)</w:t>
      </w:r>
      <w:r w:rsidRPr="00DB076C">
        <w:rPr>
          <w:rFonts w:ascii="Times New Roman" w:hAnsi="Times New Roman" w:cs="Times New Roman"/>
          <w:szCs w:val="20"/>
          <w:lang w:val="en-US"/>
        </w:rPr>
        <w:t xml:space="preserve"> is responsible for maintenance and international </w:t>
      </w:r>
      <w:proofErr w:type="spellStart"/>
      <w:r w:rsidRPr="00DB076C">
        <w:rPr>
          <w:rFonts w:ascii="Times New Roman" w:hAnsi="Times New Roman" w:cs="Times New Roman"/>
          <w:szCs w:val="20"/>
          <w:lang w:val="en-US"/>
        </w:rPr>
        <w:t>harmonisation</w:t>
      </w:r>
      <w:proofErr w:type="spellEnd"/>
      <w:r w:rsidRPr="00DB076C">
        <w:rPr>
          <w:rFonts w:ascii="Times New Roman" w:hAnsi="Times New Roman" w:cs="Times New Roman"/>
          <w:szCs w:val="20"/>
          <w:lang w:val="en-US"/>
        </w:rPr>
        <w:t xml:space="preserve"> of data as regards surveying and mapping and integrating up-to-date reference data on location into </w:t>
      </w:r>
      <w:r w:rsidR="00F61E99" w:rsidRPr="00DB076C">
        <w:rPr>
          <w:rFonts w:ascii="Times New Roman" w:hAnsi="Times New Roman" w:cs="Times New Roman"/>
          <w:szCs w:val="20"/>
          <w:lang w:val="en-US"/>
        </w:rPr>
        <w:t xml:space="preserve">Slovak </w:t>
      </w:r>
      <w:r w:rsidRPr="00DB076C">
        <w:rPr>
          <w:rFonts w:ascii="Times New Roman" w:hAnsi="Times New Roman" w:cs="Times New Roman"/>
          <w:szCs w:val="20"/>
          <w:lang w:val="en-US"/>
        </w:rPr>
        <w:t>e-Government.</w:t>
      </w:r>
    </w:p>
    <w:p w14:paraId="3E55EF70" w14:textId="77777777" w:rsidR="00F61E99" w:rsidRPr="00DB076C" w:rsidRDefault="00903F61" w:rsidP="006C6B10">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There are three other authorities responsible for the activities with close relation to the INSPIRE implementation, namely </w:t>
      </w:r>
      <w:r w:rsidR="00F61E99" w:rsidRPr="00DB076C">
        <w:rPr>
          <w:rFonts w:ascii="Times New Roman" w:hAnsi="Times New Roman" w:cs="Times New Roman"/>
          <w:b/>
          <w:szCs w:val="20"/>
          <w:lang w:val="en-US"/>
        </w:rPr>
        <w:t xml:space="preserve">Ministry of </w:t>
      </w:r>
      <w:proofErr w:type="spellStart"/>
      <w:r w:rsidR="00F61E99" w:rsidRPr="00DB076C">
        <w:rPr>
          <w:rFonts w:ascii="Times New Roman" w:hAnsi="Times New Roman" w:cs="Times New Roman"/>
          <w:b/>
          <w:szCs w:val="20"/>
          <w:lang w:val="en-US"/>
        </w:rPr>
        <w:t>of</w:t>
      </w:r>
      <w:proofErr w:type="spellEnd"/>
      <w:r w:rsidR="00F61E99" w:rsidRPr="00DB076C">
        <w:rPr>
          <w:rFonts w:ascii="Times New Roman" w:hAnsi="Times New Roman" w:cs="Times New Roman"/>
          <w:b/>
          <w:szCs w:val="20"/>
          <w:lang w:val="en-US"/>
        </w:rPr>
        <w:t xml:space="preserve"> Finance of the Slovak Republic (</w:t>
      </w:r>
      <w:proofErr w:type="spellStart"/>
      <w:r w:rsidR="00F61E99" w:rsidRPr="00DB076C">
        <w:rPr>
          <w:rFonts w:ascii="Times New Roman" w:hAnsi="Times New Roman" w:cs="Times New Roman"/>
          <w:b/>
          <w:szCs w:val="20"/>
          <w:lang w:val="en-US"/>
        </w:rPr>
        <w:t>MoF</w:t>
      </w:r>
      <w:proofErr w:type="spellEnd"/>
      <w:r w:rsidR="00F61E99" w:rsidRPr="00DB076C">
        <w:rPr>
          <w:rFonts w:ascii="Times New Roman" w:hAnsi="Times New Roman" w:cs="Times New Roman"/>
          <w:b/>
          <w:szCs w:val="20"/>
          <w:lang w:val="en-US"/>
        </w:rPr>
        <w:t>)</w:t>
      </w:r>
      <w:r w:rsidR="00F61E99" w:rsidRPr="00DB076C">
        <w:rPr>
          <w:rFonts w:ascii="Times New Roman" w:hAnsi="Times New Roman" w:cs="Times New Roman"/>
          <w:szCs w:val="20"/>
          <w:lang w:val="en-US"/>
        </w:rPr>
        <w:t xml:space="preserve"> </w:t>
      </w:r>
      <w:r w:rsidRPr="00DB076C">
        <w:rPr>
          <w:rFonts w:ascii="Times New Roman" w:hAnsi="Times New Roman" w:cs="Times New Roman"/>
          <w:szCs w:val="20"/>
          <w:lang w:val="en-US"/>
        </w:rPr>
        <w:t xml:space="preserve">together with the </w:t>
      </w:r>
      <w:r w:rsidRPr="00DB076C">
        <w:rPr>
          <w:rFonts w:ascii="Times New Roman" w:hAnsi="Times New Roman" w:cs="Times New Roman"/>
          <w:b/>
          <w:szCs w:val="20"/>
          <w:lang w:val="en-US"/>
        </w:rPr>
        <w:t>Governmental Office of the Slovak Republic (GO)</w:t>
      </w:r>
      <w:r w:rsidRPr="00DB076C">
        <w:rPr>
          <w:rFonts w:ascii="Times New Roman" w:hAnsi="Times New Roman" w:cs="Times New Roman"/>
          <w:szCs w:val="20"/>
          <w:lang w:val="en-US"/>
        </w:rPr>
        <w:t xml:space="preserve"> responsible for the e-Government as well as the </w:t>
      </w:r>
      <w:r w:rsidRPr="00DB076C">
        <w:rPr>
          <w:rFonts w:ascii="Times New Roman" w:hAnsi="Times New Roman" w:cs="Times New Roman"/>
          <w:b/>
          <w:szCs w:val="20"/>
          <w:lang w:val="en-US"/>
        </w:rPr>
        <w:t>Ministry of Interior of the Slovak Republic (</w:t>
      </w:r>
      <w:proofErr w:type="spellStart"/>
      <w:r w:rsidRPr="00DB076C">
        <w:rPr>
          <w:rFonts w:ascii="Times New Roman" w:hAnsi="Times New Roman" w:cs="Times New Roman"/>
          <w:b/>
          <w:szCs w:val="20"/>
          <w:lang w:val="en-US"/>
        </w:rPr>
        <w:t>MoI</w:t>
      </w:r>
      <w:proofErr w:type="spellEnd"/>
      <w:r w:rsidRPr="00DB076C">
        <w:rPr>
          <w:rFonts w:ascii="Times New Roman" w:hAnsi="Times New Roman" w:cs="Times New Roman"/>
          <w:b/>
          <w:szCs w:val="20"/>
          <w:lang w:val="en-US"/>
        </w:rPr>
        <w:t>)</w:t>
      </w:r>
      <w:r w:rsidRPr="00DB076C">
        <w:rPr>
          <w:rFonts w:ascii="Times New Roman" w:hAnsi="Times New Roman" w:cs="Times New Roman"/>
          <w:szCs w:val="20"/>
          <w:lang w:val="en-US"/>
        </w:rPr>
        <w:t xml:space="preserve"> leading the implementation of Open Government Partnership in SR including the Open Data activities.</w:t>
      </w:r>
    </w:p>
    <w:p w14:paraId="01CF5FCD" w14:textId="77777777" w:rsidR="00F61E99" w:rsidRPr="00DB076C" w:rsidRDefault="00F61E99" w:rsidP="006C6B10">
      <w:pPr>
        <w:jc w:val="both"/>
        <w:rPr>
          <w:rFonts w:ascii="Times New Roman" w:hAnsi="Times New Roman" w:cs="Times New Roman"/>
          <w:szCs w:val="20"/>
          <w:lang w:val="en-US"/>
        </w:rPr>
      </w:pPr>
    </w:p>
    <w:p w14:paraId="0B9AF339" w14:textId="77777777" w:rsidR="0012763D" w:rsidRPr="00DB076C" w:rsidRDefault="00903F61" w:rsidP="0012763D">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INSPIRE implementation in Slovakia was so far </w:t>
      </w:r>
      <w:r w:rsidR="00E54A64" w:rsidRPr="00DB076C">
        <w:rPr>
          <w:rFonts w:ascii="Times New Roman" w:hAnsi="Times New Roman" w:cs="Times New Roman"/>
          <w:szCs w:val="20"/>
          <w:lang w:val="en-US"/>
        </w:rPr>
        <w:t xml:space="preserve">mainly </w:t>
      </w:r>
      <w:r w:rsidRPr="00DB076C">
        <w:rPr>
          <w:rFonts w:ascii="Times New Roman" w:hAnsi="Times New Roman" w:cs="Times New Roman"/>
          <w:szCs w:val="20"/>
          <w:lang w:val="en-US"/>
        </w:rPr>
        <w:t xml:space="preserve">driven </w:t>
      </w:r>
      <w:r w:rsidR="00E54A64" w:rsidRPr="00DB076C">
        <w:rPr>
          <w:rFonts w:ascii="Times New Roman" w:hAnsi="Times New Roman" w:cs="Times New Roman"/>
          <w:szCs w:val="20"/>
          <w:lang w:val="en-US"/>
        </w:rPr>
        <w:t xml:space="preserve">by the efforts in the components of the metadata, partially in network services and interoperability (mainly for INSPIRE Annex 1). Slovak republic also took into the consideration the gaps identified by the </w:t>
      </w:r>
      <w:r w:rsidR="0012763D" w:rsidRPr="00DB076C">
        <w:rPr>
          <w:rFonts w:ascii="Times New Roman" w:hAnsi="Times New Roman" w:cs="Times New Roman"/>
          <w:szCs w:val="20"/>
          <w:lang w:val="en-US"/>
        </w:rPr>
        <w:t>European Commission and reflecting the presented key priorities for implementation and reporting demonstrated commitment for implementation and cooperation.</w:t>
      </w:r>
      <w:r w:rsidR="00B379CD" w:rsidRPr="00DB076C">
        <w:rPr>
          <w:rFonts w:ascii="Times New Roman" w:hAnsi="Times New Roman" w:cs="Times New Roman"/>
          <w:szCs w:val="20"/>
          <w:lang w:val="en-US"/>
        </w:rPr>
        <w:t xml:space="preserve"> Where possible this Action Plan is trying to take into the consideration ongoing process on the shaping of The Maintenance and Implementation Work </w:t>
      </w:r>
      <w:proofErr w:type="spellStart"/>
      <w:r w:rsidR="00B379CD" w:rsidRPr="00DB076C">
        <w:rPr>
          <w:rFonts w:ascii="Times New Roman" w:hAnsi="Times New Roman" w:cs="Times New Roman"/>
          <w:szCs w:val="20"/>
          <w:lang w:val="en-US"/>
        </w:rPr>
        <w:t>Programme</w:t>
      </w:r>
      <w:proofErr w:type="spellEnd"/>
      <w:r w:rsidR="00B379CD" w:rsidRPr="00DB076C">
        <w:rPr>
          <w:rFonts w:ascii="Times New Roman" w:hAnsi="Times New Roman" w:cs="Times New Roman"/>
          <w:szCs w:val="20"/>
          <w:lang w:val="en-US"/>
        </w:rPr>
        <w:t xml:space="preserve"> for the INSPIRE Directive for the period  from 2016 – 2020</w:t>
      </w:r>
      <w:r w:rsidR="00DB076C" w:rsidRPr="00DB076C">
        <w:rPr>
          <w:rStyle w:val="FootnoteReference"/>
          <w:rFonts w:ascii="Times New Roman" w:hAnsi="Times New Roman" w:cs="Times New Roman"/>
          <w:szCs w:val="20"/>
          <w:lang w:val="en-US"/>
        </w:rPr>
        <w:footnoteReference w:id="1"/>
      </w:r>
      <w:r w:rsidR="00B379CD" w:rsidRPr="00DB076C">
        <w:rPr>
          <w:rFonts w:ascii="Times New Roman" w:hAnsi="Times New Roman" w:cs="Times New Roman"/>
          <w:szCs w:val="20"/>
          <w:lang w:val="en-US"/>
        </w:rPr>
        <w:t>.</w:t>
      </w:r>
      <w:r w:rsidR="0012763D" w:rsidRPr="00DB076C">
        <w:rPr>
          <w:rFonts w:ascii="Times New Roman" w:hAnsi="Times New Roman" w:cs="Times New Roman"/>
          <w:szCs w:val="20"/>
          <w:lang w:val="en-US"/>
        </w:rPr>
        <w:t xml:space="preserve"> </w:t>
      </w:r>
    </w:p>
    <w:p w14:paraId="52718A94" w14:textId="77777777" w:rsidR="0012763D" w:rsidRPr="00DB076C" w:rsidRDefault="0012763D" w:rsidP="0012763D">
      <w:pPr>
        <w:jc w:val="both"/>
        <w:rPr>
          <w:rFonts w:ascii="Times New Roman" w:hAnsi="Times New Roman" w:cs="Times New Roman"/>
          <w:szCs w:val="20"/>
          <w:lang w:val="en-US"/>
        </w:rPr>
      </w:pPr>
    </w:p>
    <w:p w14:paraId="68DE3B6D" w14:textId="77777777" w:rsidR="00F61E99" w:rsidRPr="00DB076C" w:rsidRDefault="0012763D" w:rsidP="006C6B10">
      <w:pPr>
        <w:jc w:val="both"/>
        <w:rPr>
          <w:rFonts w:ascii="Times New Roman" w:hAnsi="Times New Roman" w:cs="Times New Roman"/>
          <w:b/>
          <w:szCs w:val="20"/>
          <w:lang w:val="en-US"/>
        </w:rPr>
      </w:pPr>
      <w:r w:rsidRPr="00DB076C">
        <w:rPr>
          <w:rFonts w:ascii="Times New Roman" w:hAnsi="Times New Roman" w:cs="Times New Roman"/>
          <w:b/>
          <w:szCs w:val="20"/>
          <w:lang w:val="en-US"/>
        </w:rPr>
        <w:t>Key priorities for implementation and reporting</w:t>
      </w:r>
    </w:p>
    <w:p w14:paraId="309AB631" w14:textId="77777777" w:rsidR="00F61E99" w:rsidRPr="00DB076C" w:rsidRDefault="00F61E99" w:rsidP="006C6B10">
      <w:pPr>
        <w:jc w:val="both"/>
        <w:rPr>
          <w:rFonts w:ascii="Times New Roman" w:hAnsi="Times New Roman" w:cs="Times New Roman"/>
          <w:szCs w:val="20"/>
          <w:lang w:val="en-US"/>
        </w:rPr>
      </w:pPr>
    </w:p>
    <w:p w14:paraId="3A4C375D" w14:textId="77777777" w:rsidR="00141133" w:rsidRPr="00DB076C" w:rsidRDefault="00C63423" w:rsidP="006C6B10">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Based on Priority setting approach for implementation and reporting presented by EC during the INSPIRE Maintenance and Implementation permanent policy sub-group in December 2015 </w:t>
      </w:r>
      <w:r w:rsidR="00A339C3" w:rsidRPr="00DB076C">
        <w:rPr>
          <w:rFonts w:ascii="Times New Roman" w:hAnsi="Times New Roman" w:cs="Times New Roman"/>
          <w:szCs w:val="20"/>
          <w:lang w:val="en-US"/>
        </w:rPr>
        <w:t xml:space="preserve">and related orientation debate  an </w:t>
      </w:r>
      <w:r w:rsidRPr="00DB076C">
        <w:rPr>
          <w:rFonts w:ascii="Times New Roman" w:hAnsi="Times New Roman" w:cs="Times New Roman"/>
          <w:szCs w:val="20"/>
          <w:lang w:val="en-US"/>
        </w:rPr>
        <w:t>overall approach for INSPIRE implementation in Slovakia was revised. With that new Action plan for the 2016 have been approved by KR NIPI and presented during the Bilateral meeting in March 2016.</w:t>
      </w:r>
      <w:r w:rsidR="00141133" w:rsidRPr="00DB076C">
        <w:rPr>
          <w:rFonts w:ascii="Times New Roman" w:hAnsi="Times New Roman" w:cs="Times New Roman"/>
          <w:szCs w:val="20"/>
          <w:lang w:val="en-US"/>
        </w:rPr>
        <w:t xml:space="preserve"> This plan is already addressing the prioritization of the spatial data related to the environmental reporting. At the same time aims to address the identified gaps for the other data themes as well as remaining INSPIRE components. In addition this Action plan extends above mentioned plan with activities foreseen to take place till 2010.</w:t>
      </w:r>
    </w:p>
    <w:p w14:paraId="18F4C227" w14:textId="77777777" w:rsidR="00141133" w:rsidRPr="00DB076C" w:rsidRDefault="00141133" w:rsidP="006C6B10">
      <w:pPr>
        <w:jc w:val="both"/>
        <w:rPr>
          <w:rFonts w:ascii="Times New Roman" w:hAnsi="Times New Roman" w:cs="Times New Roman"/>
          <w:szCs w:val="20"/>
          <w:lang w:val="en-US"/>
        </w:rPr>
      </w:pPr>
    </w:p>
    <w:p w14:paraId="00C92412" w14:textId="77777777" w:rsidR="00141133" w:rsidRPr="00DB076C" w:rsidRDefault="00141133" w:rsidP="006C6B10">
      <w:pPr>
        <w:jc w:val="both"/>
        <w:rPr>
          <w:rFonts w:ascii="Times New Roman" w:hAnsi="Times New Roman" w:cs="Times New Roman"/>
          <w:i/>
          <w:szCs w:val="20"/>
          <w:lang w:val="en-US"/>
        </w:rPr>
      </w:pPr>
      <w:r w:rsidRPr="00DB076C">
        <w:rPr>
          <w:rFonts w:ascii="Times New Roman" w:hAnsi="Times New Roman" w:cs="Times New Roman"/>
          <w:i/>
          <w:szCs w:val="20"/>
          <w:lang w:val="en-US"/>
        </w:rPr>
        <w:t>Related action:</w:t>
      </w:r>
    </w:p>
    <w:p w14:paraId="3F79681B" w14:textId="77777777" w:rsidR="00141133" w:rsidRPr="00DB076C" w:rsidRDefault="00141133" w:rsidP="006C6B10">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Datasets identified to be within the scope of priority datasets for environmental reporting will be </w:t>
      </w:r>
      <w:r w:rsidR="009200F7" w:rsidRPr="00DB076C">
        <w:rPr>
          <w:rFonts w:ascii="Times New Roman" w:hAnsi="Times New Roman" w:cs="Times New Roman"/>
          <w:szCs w:val="20"/>
          <w:lang w:val="en-US"/>
        </w:rPr>
        <w:t xml:space="preserve">identified in close cooperation with the EIONET representatives and </w:t>
      </w:r>
      <w:r w:rsidRPr="00DB076C">
        <w:rPr>
          <w:rFonts w:ascii="Times New Roman" w:hAnsi="Times New Roman" w:cs="Times New Roman"/>
          <w:szCs w:val="20"/>
          <w:lang w:val="en-US"/>
        </w:rPr>
        <w:t>documented by the metadata and made available via INSPIRE infrastructure</w:t>
      </w:r>
      <w:r w:rsidR="00B27CAB" w:rsidRPr="00DB076C">
        <w:rPr>
          <w:rFonts w:ascii="Times New Roman" w:hAnsi="Times New Roman" w:cs="Times New Roman"/>
          <w:szCs w:val="20"/>
          <w:lang w:val="en-US"/>
        </w:rPr>
        <w:t xml:space="preserve"> </w:t>
      </w:r>
      <w:r w:rsidR="00524669" w:rsidRPr="00DB076C">
        <w:rPr>
          <w:rFonts w:ascii="Times New Roman" w:hAnsi="Times New Roman" w:cs="Times New Roman"/>
          <w:szCs w:val="20"/>
          <w:lang w:val="en-US"/>
        </w:rPr>
        <w:t xml:space="preserve">with the highest priority </w:t>
      </w:r>
      <w:r w:rsidR="00B156B9" w:rsidRPr="00DB076C">
        <w:rPr>
          <w:rFonts w:ascii="Times New Roman" w:hAnsi="Times New Roman" w:cs="Times New Roman"/>
          <w:szCs w:val="20"/>
          <w:lang w:val="en-US"/>
        </w:rPr>
        <w:t xml:space="preserve">in line with the outcomes of the INSPIRE Maintenance and Implementation Work Program (MIWP) action "Priority list of data sets". </w:t>
      </w:r>
    </w:p>
    <w:p w14:paraId="2F9BBC09" w14:textId="77777777" w:rsidR="00524669" w:rsidRPr="00DB076C" w:rsidRDefault="00524669" w:rsidP="006C6B10">
      <w:pPr>
        <w:jc w:val="both"/>
        <w:rPr>
          <w:rFonts w:ascii="Times New Roman" w:hAnsi="Times New Roman" w:cs="Times New Roman"/>
          <w:szCs w:val="20"/>
          <w:lang w:val="en-US"/>
        </w:rPr>
      </w:pPr>
    </w:p>
    <w:p w14:paraId="04897D9D" w14:textId="77777777" w:rsidR="00524669" w:rsidRPr="00DB076C" w:rsidRDefault="00524669" w:rsidP="006C6B10">
      <w:pPr>
        <w:jc w:val="both"/>
        <w:rPr>
          <w:rFonts w:ascii="Times New Roman" w:hAnsi="Times New Roman" w:cs="Times New Roman"/>
          <w:szCs w:val="20"/>
          <w:lang w:val="en-US"/>
        </w:rPr>
      </w:pPr>
    </w:p>
    <w:p w14:paraId="29A4A96F" w14:textId="77777777" w:rsidR="00DB076C" w:rsidRDefault="00DB076C" w:rsidP="006C6B10">
      <w:pPr>
        <w:jc w:val="both"/>
        <w:rPr>
          <w:rFonts w:ascii="Times New Roman" w:hAnsi="Times New Roman" w:cs="Times New Roman"/>
          <w:b/>
          <w:szCs w:val="20"/>
          <w:lang w:val="en-US"/>
        </w:rPr>
      </w:pPr>
    </w:p>
    <w:p w14:paraId="2D04C00C" w14:textId="77777777" w:rsidR="00DB076C" w:rsidRDefault="00DB076C" w:rsidP="006C6B10">
      <w:pPr>
        <w:jc w:val="both"/>
        <w:rPr>
          <w:rFonts w:ascii="Times New Roman" w:hAnsi="Times New Roman" w:cs="Times New Roman"/>
          <w:b/>
          <w:szCs w:val="20"/>
          <w:lang w:val="en-US"/>
        </w:rPr>
      </w:pPr>
    </w:p>
    <w:p w14:paraId="2A485318" w14:textId="77777777" w:rsidR="00524669" w:rsidRPr="00DB076C" w:rsidRDefault="00524669" w:rsidP="006C6B10">
      <w:pPr>
        <w:jc w:val="both"/>
        <w:rPr>
          <w:rFonts w:ascii="Times New Roman" w:hAnsi="Times New Roman" w:cs="Times New Roman"/>
          <w:b/>
          <w:szCs w:val="20"/>
          <w:lang w:val="en-US"/>
        </w:rPr>
      </w:pPr>
      <w:r w:rsidRPr="00DB076C">
        <w:rPr>
          <w:rFonts w:ascii="Times New Roman" w:hAnsi="Times New Roman" w:cs="Times New Roman"/>
          <w:b/>
          <w:szCs w:val="20"/>
          <w:lang w:val="en-US"/>
        </w:rPr>
        <w:lastRenderedPageBreak/>
        <w:t>Interoperability of spatial data sets and services</w:t>
      </w:r>
    </w:p>
    <w:p w14:paraId="33A8852E" w14:textId="77777777" w:rsidR="00524669" w:rsidRPr="00DB076C" w:rsidRDefault="00524669" w:rsidP="006C6B10">
      <w:pPr>
        <w:jc w:val="both"/>
        <w:rPr>
          <w:rFonts w:ascii="Times New Roman" w:hAnsi="Times New Roman" w:cs="Times New Roman"/>
          <w:szCs w:val="20"/>
          <w:lang w:val="en-US"/>
        </w:rPr>
      </w:pPr>
    </w:p>
    <w:p w14:paraId="6309F7CC" w14:textId="77777777" w:rsidR="00524669" w:rsidRPr="00DB076C" w:rsidRDefault="00B379CD" w:rsidP="006C6B10">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Although </w:t>
      </w:r>
      <w:r w:rsidR="00A339C3" w:rsidRPr="00DB076C">
        <w:rPr>
          <w:rFonts w:ascii="Times New Roman" w:hAnsi="Times New Roman" w:cs="Times New Roman"/>
          <w:szCs w:val="20"/>
          <w:lang w:val="en-US"/>
        </w:rPr>
        <w:t>harmonization</w:t>
      </w:r>
      <w:r w:rsidR="00524669" w:rsidRPr="00DB076C">
        <w:rPr>
          <w:rFonts w:ascii="Times New Roman" w:hAnsi="Times New Roman" w:cs="Times New Roman"/>
          <w:szCs w:val="20"/>
          <w:lang w:val="en-US"/>
        </w:rPr>
        <w:t xml:space="preserve"> of the data sets</w:t>
      </w:r>
      <w:r w:rsidRPr="00DB076C">
        <w:rPr>
          <w:rFonts w:ascii="Times New Roman" w:hAnsi="Times New Roman" w:cs="Times New Roman"/>
          <w:szCs w:val="20"/>
          <w:lang w:val="en-US"/>
        </w:rPr>
        <w:t xml:space="preserve"> according the INSPIRE exchange model has already started for some themes, in general increased effort shall take place as in documenting existing spatial data falling under the INSPIRE scope as well as in the transformation of the relevant datasets towards the target INSPIRE model. At the same time achievement of the interoperability requirements shall be i</w:t>
      </w:r>
      <w:r w:rsidR="00C54B47" w:rsidRPr="00DB076C">
        <w:rPr>
          <w:rFonts w:ascii="Times New Roman" w:hAnsi="Times New Roman" w:cs="Times New Roman"/>
          <w:szCs w:val="20"/>
          <w:lang w:val="en-US"/>
        </w:rPr>
        <w:t xml:space="preserve">n line with the expectations to meet the wide policy and end user needs. </w:t>
      </w:r>
    </w:p>
    <w:p w14:paraId="10742EE5" w14:textId="77777777" w:rsidR="00C54B47" w:rsidRPr="00DB076C" w:rsidRDefault="00C54B47" w:rsidP="006C6B10">
      <w:pPr>
        <w:jc w:val="both"/>
        <w:rPr>
          <w:rFonts w:ascii="Times New Roman" w:hAnsi="Times New Roman" w:cs="Times New Roman"/>
          <w:szCs w:val="20"/>
          <w:lang w:val="en-US"/>
        </w:rPr>
      </w:pPr>
    </w:p>
    <w:p w14:paraId="5437BC3D" w14:textId="77777777" w:rsidR="00C54B47" w:rsidRPr="00DB076C" w:rsidRDefault="00C54B47" w:rsidP="00C54B47">
      <w:pPr>
        <w:jc w:val="both"/>
        <w:rPr>
          <w:rFonts w:ascii="Times New Roman" w:hAnsi="Times New Roman" w:cs="Times New Roman"/>
          <w:i/>
          <w:szCs w:val="20"/>
          <w:lang w:val="en-US"/>
        </w:rPr>
      </w:pPr>
      <w:r w:rsidRPr="00DB076C">
        <w:rPr>
          <w:rFonts w:ascii="Times New Roman" w:hAnsi="Times New Roman" w:cs="Times New Roman"/>
          <w:i/>
          <w:szCs w:val="20"/>
          <w:lang w:val="en-US"/>
        </w:rPr>
        <w:t>Related action:</w:t>
      </w:r>
    </w:p>
    <w:p w14:paraId="793D6113" w14:textId="77777777" w:rsidR="00C54B47" w:rsidRPr="00DB076C" w:rsidRDefault="00F23B65" w:rsidP="00C54B47">
      <w:pPr>
        <w:jc w:val="both"/>
        <w:rPr>
          <w:rFonts w:ascii="Times New Roman" w:hAnsi="Times New Roman" w:cs="Times New Roman"/>
          <w:i/>
          <w:szCs w:val="20"/>
          <w:lang w:val="en-US"/>
        </w:rPr>
      </w:pPr>
      <w:r w:rsidRPr="00DB076C">
        <w:rPr>
          <w:rFonts w:ascii="Times New Roman" w:hAnsi="Times New Roman" w:cs="Times New Roman"/>
          <w:bCs/>
          <w:szCs w:val="20"/>
          <w:lang w:val="en-US" w:eastAsia="en-GB"/>
        </w:rPr>
        <w:t xml:space="preserve">In </w:t>
      </w:r>
      <w:r w:rsidR="008816C8" w:rsidRPr="00DB076C">
        <w:rPr>
          <w:rFonts w:ascii="Times New Roman" w:hAnsi="Times New Roman" w:cs="Times New Roman"/>
          <w:bCs/>
          <w:szCs w:val="20"/>
          <w:lang w:val="en-US" w:eastAsia="en-GB"/>
        </w:rPr>
        <w:t>order</w:t>
      </w:r>
      <w:r w:rsidRPr="00DB076C">
        <w:rPr>
          <w:rFonts w:ascii="Times New Roman" w:hAnsi="Times New Roman" w:cs="Times New Roman"/>
          <w:bCs/>
          <w:szCs w:val="20"/>
          <w:lang w:val="en-US" w:eastAsia="en-GB"/>
        </w:rPr>
        <w:t xml:space="preserve"> to increase and speed up the availability of the spatial datasets and services, together with the priority data sets, identification of any other as-is spatial datasets falling within the scope of INSPIRE will be the first set of actions. Following actions will be</w:t>
      </w:r>
      <w:r w:rsidR="007E5E47" w:rsidRPr="00DB076C">
        <w:rPr>
          <w:rFonts w:ascii="Times New Roman" w:hAnsi="Times New Roman" w:cs="Times New Roman"/>
          <w:bCs/>
          <w:szCs w:val="20"/>
          <w:lang w:val="en-US" w:eastAsia="en-GB"/>
        </w:rPr>
        <w:t xml:space="preserve"> </w:t>
      </w:r>
      <w:r w:rsidRPr="00DB076C">
        <w:rPr>
          <w:rFonts w:ascii="Times New Roman" w:hAnsi="Times New Roman" w:cs="Times New Roman"/>
          <w:bCs/>
          <w:szCs w:val="20"/>
          <w:lang w:val="en-US" w:eastAsia="en-GB"/>
        </w:rPr>
        <w:t xml:space="preserve">focused on their </w:t>
      </w:r>
      <w:r w:rsidR="007E5E47" w:rsidRPr="00DB076C">
        <w:rPr>
          <w:rFonts w:ascii="Times New Roman" w:hAnsi="Times New Roman" w:cs="Times New Roman"/>
          <w:bCs/>
          <w:szCs w:val="20"/>
          <w:lang w:val="en-US" w:eastAsia="en-GB"/>
        </w:rPr>
        <w:t>harmonization</w:t>
      </w:r>
      <w:r w:rsidRPr="00DB076C">
        <w:rPr>
          <w:rFonts w:ascii="Times New Roman" w:hAnsi="Times New Roman" w:cs="Times New Roman"/>
          <w:bCs/>
          <w:szCs w:val="20"/>
          <w:lang w:val="en-US" w:eastAsia="en-GB"/>
        </w:rPr>
        <w:t xml:space="preserve"> and </w:t>
      </w:r>
      <w:r w:rsidR="00D17AFB" w:rsidRPr="00DB076C">
        <w:rPr>
          <w:rFonts w:ascii="Times New Roman" w:hAnsi="Times New Roman" w:cs="Times New Roman"/>
          <w:bCs/>
          <w:szCs w:val="20"/>
          <w:lang w:val="en-US" w:eastAsia="en-GB"/>
        </w:rPr>
        <w:t>alignment</w:t>
      </w:r>
      <w:r w:rsidRPr="00DB076C">
        <w:rPr>
          <w:rFonts w:ascii="Times New Roman" w:hAnsi="Times New Roman" w:cs="Times New Roman"/>
          <w:bCs/>
          <w:szCs w:val="20"/>
          <w:lang w:val="en-US" w:eastAsia="en-GB"/>
        </w:rPr>
        <w:t xml:space="preserve"> with the INSPIRE exchange</w:t>
      </w:r>
      <w:r w:rsidR="00EA02E6" w:rsidRPr="00DB076C">
        <w:rPr>
          <w:rFonts w:ascii="Times New Roman" w:hAnsi="Times New Roman" w:cs="Times New Roman"/>
          <w:bCs/>
          <w:szCs w:val="20"/>
          <w:lang w:val="en-US" w:eastAsia="en-GB"/>
        </w:rPr>
        <w:t xml:space="preserve"> model. </w:t>
      </w:r>
      <w:r w:rsidRPr="00DB076C">
        <w:rPr>
          <w:rFonts w:ascii="Times New Roman" w:hAnsi="Times New Roman" w:cs="Times New Roman"/>
          <w:bCs/>
          <w:szCs w:val="20"/>
          <w:lang w:val="en-US" w:eastAsia="en-GB"/>
        </w:rPr>
        <w:t>The obligation of making “</w:t>
      </w:r>
      <w:r w:rsidR="00EA02E6" w:rsidRPr="00DB076C">
        <w:rPr>
          <w:rFonts w:ascii="Times New Roman" w:hAnsi="Times New Roman" w:cs="Times New Roman"/>
          <w:bCs/>
          <w:szCs w:val="20"/>
          <w:lang w:val="en-US" w:eastAsia="en-GB"/>
        </w:rPr>
        <w:t>priority and remaining</w:t>
      </w:r>
      <w:r w:rsidRPr="00DB076C">
        <w:rPr>
          <w:rFonts w:ascii="Times New Roman" w:hAnsi="Times New Roman" w:cs="Times New Roman"/>
          <w:bCs/>
          <w:szCs w:val="20"/>
          <w:lang w:val="en-US" w:eastAsia="en-GB"/>
        </w:rPr>
        <w:t xml:space="preserve"> data sets” available has been communicated to all the relevant data providers.</w:t>
      </w:r>
    </w:p>
    <w:p w14:paraId="42C20BD7" w14:textId="77777777" w:rsidR="00C54B47" w:rsidRPr="00DB076C" w:rsidRDefault="00C54B47" w:rsidP="00C54B47">
      <w:pPr>
        <w:jc w:val="both"/>
        <w:rPr>
          <w:rFonts w:ascii="Times New Roman" w:hAnsi="Times New Roman" w:cs="Times New Roman"/>
          <w:i/>
          <w:szCs w:val="20"/>
          <w:lang w:val="en-US"/>
        </w:rPr>
      </w:pPr>
    </w:p>
    <w:p w14:paraId="294D0D5A" w14:textId="77777777" w:rsidR="00C54B47" w:rsidRPr="00DB076C" w:rsidRDefault="00C54B47" w:rsidP="00C54B47">
      <w:pPr>
        <w:jc w:val="both"/>
        <w:rPr>
          <w:rFonts w:ascii="Times New Roman" w:hAnsi="Times New Roman" w:cs="Times New Roman"/>
          <w:b/>
          <w:szCs w:val="20"/>
          <w:lang w:val="en-US"/>
        </w:rPr>
      </w:pPr>
      <w:r w:rsidRPr="00DB076C">
        <w:rPr>
          <w:rFonts w:ascii="Times New Roman" w:hAnsi="Times New Roman" w:cs="Times New Roman"/>
          <w:b/>
          <w:szCs w:val="20"/>
          <w:lang w:val="en-US"/>
        </w:rPr>
        <w:t>Compliance with metadata under Annex I-III</w:t>
      </w:r>
    </w:p>
    <w:p w14:paraId="0C05EBCC" w14:textId="77777777" w:rsidR="00C54B47" w:rsidRPr="00DB076C" w:rsidRDefault="00C54B47" w:rsidP="00C54B47">
      <w:pPr>
        <w:jc w:val="both"/>
        <w:rPr>
          <w:rFonts w:ascii="Times New Roman" w:hAnsi="Times New Roman" w:cs="Times New Roman"/>
          <w:szCs w:val="20"/>
          <w:lang w:val="en-US"/>
        </w:rPr>
      </w:pPr>
    </w:p>
    <w:p w14:paraId="5A33AA21" w14:textId="77777777" w:rsidR="00815D03" w:rsidRPr="00DB076C" w:rsidRDefault="00815D03" w:rsidP="00C54B47">
      <w:pPr>
        <w:jc w:val="both"/>
        <w:rPr>
          <w:rFonts w:ascii="Times New Roman" w:hAnsi="Times New Roman" w:cs="Times New Roman"/>
          <w:szCs w:val="20"/>
          <w:lang w:val="en-US"/>
        </w:rPr>
      </w:pPr>
      <w:r w:rsidRPr="00DB076C">
        <w:rPr>
          <w:rFonts w:ascii="Times New Roman" w:hAnsi="Times New Roman" w:cs="Times New Roman"/>
          <w:szCs w:val="20"/>
          <w:lang w:val="en-US" w:eastAsia="en-GB"/>
        </w:rPr>
        <w:t xml:space="preserve">Slovakia is aware of validations problems concerning metadata records from Slovak national catalogue service. Current metadata available at the EU </w:t>
      </w:r>
      <w:proofErr w:type="spellStart"/>
      <w:r w:rsidRPr="00DB076C">
        <w:rPr>
          <w:rFonts w:ascii="Times New Roman" w:hAnsi="Times New Roman" w:cs="Times New Roman"/>
          <w:szCs w:val="20"/>
          <w:lang w:val="en-US" w:eastAsia="en-GB"/>
        </w:rPr>
        <w:t>geoportal</w:t>
      </w:r>
      <w:proofErr w:type="spellEnd"/>
      <w:r w:rsidRPr="00DB076C">
        <w:rPr>
          <w:rFonts w:ascii="Times New Roman" w:hAnsi="Times New Roman" w:cs="Times New Roman"/>
          <w:szCs w:val="20"/>
          <w:lang w:val="en-US" w:eastAsia="en-GB"/>
        </w:rPr>
        <w:t xml:space="preserve"> from SK reached average </w:t>
      </w:r>
      <w:r w:rsidR="007E5E47" w:rsidRPr="00DB076C">
        <w:rPr>
          <w:rFonts w:ascii="Times New Roman" w:hAnsi="Times New Roman" w:cs="Times New Roman"/>
          <w:szCs w:val="20"/>
          <w:lang w:val="en-US" w:eastAsia="en-GB"/>
        </w:rPr>
        <w:t>degree</w:t>
      </w:r>
      <w:r w:rsidRPr="00DB076C">
        <w:rPr>
          <w:rFonts w:ascii="Times New Roman" w:hAnsi="Times New Roman" w:cs="Times New Roman"/>
          <w:szCs w:val="20"/>
          <w:lang w:val="en-US" w:eastAsia="en-GB"/>
        </w:rPr>
        <w:t xml:space="preserve"> of conformity 88,74% comparing the 82,06% reported by EC before bilateral meeting. Although some actions took place in area of filtering of non INSPIRE metadata records from SK National catalogue service, further steps will have to take place in order to increase the amount and compliancy of metadata describing the SK contribution to INSPIRE.</w:t>
      </w:r>
    </w:p>
    <w:p w14:paraId="0B129699" w14:textId="77777777" w:rsidR="00EA02E6" w:rsidRPr="00DB076C" w:rsidRDefault="00EA02E6" w:rsidP="00C54B47">
      <w:pPr>
        <w:jc w:val="both"/>
        <w:rPr>
          <w:rFonts w:ascii="Times New Roman" w:hAnsi="Times New Roman" w:cs="Times New Roman"/>
          <w:szCs w:val="20"/>
          <w:lang w:val="en-US"/>
        </w:rPr>
      </w:pPr>
    </w:p>
    <w:p w14:paraId="6328208E" w14:textId="77777777" w:rsidR="00C54B47" w:rsidRPr="00DB076C" w:rsidRDefault="00C54B47" w:rsidP="00C54B47">
      <w:pPr>
        <w:jc w:val="both"/>
        <w:rPr>
          <w:rFonts w:ascii="Times New Roman" w:hAnsi="Times New Roman" w:cs="Times New Roman"/>
          <w:i/>
          <w:szCs w:val="20"/>
          <w:lang w:val="en-US"/>
        </w:rPr>
      </w:pPr>
      <w:r w:rsidRPr="00DB076C">
        <w:rPr>
          <w:rFonts w:ascii="Times New Roman" w:hAnsi="Times New Roman" w:cs="Times New Roman"/>
          <w:i/>
          <w:szCs w:val="20"/>
          <w:lang w:val="en-US"/>
        </w:rPr>
        <w:t>Related action:</w:t>
      </w:r>
    </w:p>
    <w:p w14:paraId="1575D18A" w14:textId="77777777" w:rsidR="00815D03" w:rsidRPr="00DB076C" w:rsidRDefault="00815D03" w:rsidP="00C54B47">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Set of actions, including deployment of </w:t>
      </w:r>
      <w:proofErr w:type="spellStart"/>
      <w:r w:rsidR="007E5E47" w:rsidRPr="00DB076C">
        <w:rPr>
          <w:rFonts w:ascii="Times New Roman" w:hAnsi="Times New Roman" w:cs="Times New Roman"/>
          <w:szCs w:val="20"/>
          <w:lang w:val="en-US"/>
        </w:rPr>
        <w:t>eGovernment</w:t>
      </w:r>
      <w:proofErr w:type="spellEnd"/>
      <w:r w:rsidRPr="00DB076C">
        <w:rPr>
          <w:rFonts w:ascii="Times New Roman" w:hAnsi="Times New Roman" w:cs="Times New Roman"/>
          <w:szCs w:val="20"/>
          <w:lang w:val="en-US"/>
        </w:rPr>
        <w:t xml:space="preserve"> project of spatial data registry providing the tool for collection, harvesting and validation of metadata</w:t>
      </w:r>
      <w:r w:rsidR="00E17F25" w:rsidRPr="00DB076C">
        <w:rPr>
          <w:rFonts w:ascii="Times New Roman" w:hAnsi="Times New Roman" w:cs="Times New Roman"/>
          <w:szCs w:val="20"/>
          <w:lang w:val="en-US"/>
        </w:rPr>
        <w:t xml:space="preserve">, including set of trainings is foreseen to take place in 2016. Main aim is to document the priority as well as remaining datasets and services in order to increase the possibility to discover and access the spatial resources via INSPIRE infrastructure.  </w:t>
      </w:r>
      <w:r w:rsidRPr="00DB076C">
        <w:rPr>
          <w:rFonts w:ascii="Times New Roman" w:hAnsi="Times New Roman" w:cs="Times New Roman"/>
          <w:szCs w:val="20"/>
          <w:lang w:val="en-US"/>
        </w:rPr>
        <w:t xml:space="preserve">  </w:t>
      </w:r>
    </w:p>
    <w:p w14:paraId="63F44876" w14:textId="77777777" w:rsidR="00C54B47" w:rsidRPr="00DB076C" w:rsidRDefault="00C54B47" w:rsidP="00C54B47">
      <w:pPr>
        <w:jc w:val="both"/>
        <w:rPr>
          <w:rFonts w:ascii="Times New Roman" w:hAnsi="Times New Roman" w:cs="Times New Roman"/>
          <w:i/>
          <w:szCs w:val="20"/>
          <w:lang w:val="en-US"/>
        </w:rPr>
      </w:pPr>
    </w:p>
    <w:p w14:paraId="2D8CD2F3" w14:textId="77777777" w:rsidR="00C54B47" w:rsidRPr="00DB076C" w:rsidRDefault="00C54B47" w:rsidP="00C54B47">
      <w:pPr>
        <w:jc w:val="both"/>
        <w:rPr>
          <w:rFonts w:ascii="Times New Roman" w:hAnsi="Times New Roman" w:cs="Times New Roman"/>
          <w:b/>
          <w:szCs w:val="20"/>
          <w:lang w:val="en-US"/>
        </w:rPr>
      </w:pPr>
      <w:r w:rsidRPr="00DB076C">
        <w:rPr>
          <w:rFonts w:ascii="Times New Roman" w:hAnsi="Times New Roman" w:cs="Times New Roman"/>
          <w:b/>
          <w:szCs w:val="20"/>
          <w:lang w:val="en-US"/>
        </w:rPr>
        <w:t>Non-compliance of Spatial Data Services (discovery, view and download services) with the requirements of the INSPIRE Directive</w:t>
      </w:r>
    </w:p>
    <w:p w14:paraId="0E858654" w14:textId="77777777" w:rsidR="00E17F25" w:rsidRPr="00DB076C" w:rsidRDefault="00E17F25" w:rsidP="00C54B47">
      <w:pPr>
        <w:jc w:val="both"/>
        <w:rPr>
          <w:rFonts w:ascii="Times New Roman" w:hAnsi="Times New Roman" w:cs="Times New Roman"/>
          <w:b/>
          <w:szCs w:val="20"/>
          <w:lang w:val="en-US"/>
        </w:rPr>
      </w:pPr>
    </w:p>
    <w:p w14:paraId="337EF405" w14:textId="77777777" w:rsidR="00600FF9" w:rsidRPr="00DB076C" w:rsidRDefault="006A07BF" w:rsidP="00C54B47">
      <w:pPr>
        <w:jc w:val="both"/>
        <w:rPr>
          <w:rFonts w:ascii="Times New Roman" w:hAnsi="Times New Roman" w:cs="Times New Roman"/>
          <w:szCs w:val="20"/>
          <w:lang w:val="en-US"/>
        </w:rPr>
      </w:pPr>
      <w:r w:rsidRPr="00DB076C">
        <w:rPr>
          <w:rFonts w:ascii="Times New Roman" w:hAnsi="Times New Roman" w:cs="Times New Roman"/>
          <w:szCs w:val="20"/>
          <w:lang w:val="en-US"/>
        </w:rPr>
        <w:t>Some of s</w:t>
      </w:r>
      <w:r w:rsidR="00600FF9" w:rsidRPr="00DB076C">
        <w:rPr>
          <w:rFonts w:ascii="Times New Roman" w:hAnsi="Times New Roman" w:cs="Times New Roman"/>
          <w:szCs w:val="20"/>
          <w:lang w:val="en-US"/>
        </w:rPr>
        <w:t>patial data services are currently</w:t>
      </w:r>
      <w:r w:rsidRPr="00DB076C">
        <w:rPr>
          <w:rFonts w:ascii="Times New Roman" w:hAnsi="Times New Roman" w:cs="Times New Roman"/>
          <w:szCs w:val="20"/>
          <w:lang w:val="en-US"/>
        </w:rPr>
        <w:t xml:space="preserve"> made available, particularly in the area of discovery, view and download. Although these services are made available, there were identified gaps with their compliancy towards the compliancy as well as completeness. Main challenges are related to the implementation of download services.     </w:t>
      </w:r>
    </w:p>
    <w:p w14:paraId="286443CD" w14:textId="77777777" w:rsidR="00E17F25" w:rsidRPr="00DB076C" w:rsidRDefault="00E17F25" w:rsidP="00C54B47">
      <w:pPr>
        <w:jc w:val="both"/>
        <w:rPr>
          <w:rFonts w:ascii="Times New Roman" w:hAnsi="Times New Roman" w:cs="Times New Roman"/>
          <w:b/>
          <w:szCs w:val="20"/>
          <w:lang w:val="en-US"/>
        </w:rPr>
      </w:pPr>
    </w:p>
    <w:p w14:paraId="2989DD1A" w14:textId="77777777" w:rsidR="00C54B47" w:rsidRPr="00DB076C" w:rsidRDefault="00C54B47" w:rsidP="00C54B47">
      <w:pPr>
        <w:jc w:val="both"/>
        <w:rPr>
          <w:rFonts w:ascii="Times New Roman" w:hAnsi="Times New Roman" w:cs="Times New Roman"/>
          <w:i/>
          <w:szCs w:val="20"/>
          <w:lang w:val="en-US"/>
        </w:rPr>
      </w:pPr>
      <w:r w:rsidRPr="00DB076C">
        <w:rPr>
          <w:rFonts w:ascii="Times New Roman" w:hAnsi="Times New Roman" w:cs="Times New Roman"/>
          <w:i/>
          <w:szCs w:val="20"/>
          <w:lang w:val="en-US"/>
        </w:rPr>
        <w:t>Related action:</w:t>
      </w:r>
    </w:p>
    <w:p w14:paraId="28F3E8D1" w14:textId="77777777" w:rsidR="006A07BF" w:rsidRPr="00DB076C" w:rsidRDefault="006A07BF" w:rsidP="006A07BF">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Stronger guidance and technical support for technical connection is foreseen with the recent legal changes from the </w:t>
      </w:r>
      <w:proofErr w:type="spellStart"/>
      <w:r w:rsidRPr="00DB076C">
        <w:rPr>
          <w:rFonts w:ascii="Times New Roman" w:hAnsi="Times New Roman" w:cs="Times New Roman"/>
          <w:szCs w:val="20"/>
          <w:lang w:val="en-US"/>
        </w:rPr>
        <w:t>MoE</w:t>
      </w:r>
      <w:proofErr w:type="spellEnd"/>
      <w:r w:rsidRPr="00DB076C">
        <w:rPr>
          <w:rFonts w:ascii="Times New Roman" w:hAnsi="Times New Roman" w:cs="Times New Roman"/>
          <w:szCs w:val="20"/>
          <w:lang w:val="en-US"/>
        </w:rPr>
        <w:t xml:space="preserve">. Main responsibility for the fulfillment of the legal requirements will still stay with the data providers, representing the main pillars for the infrastructure itself. Establishment of the spatial data services will follow the </w:t>
      </w:r>
      <w:r w:rsidR="00C5659B" w:rsidRPr="00DB076C">
        <w:rPr>
          <w:rFonts w:ascii="Times New Roman" w:hAnsi="Times New Roman" w:cs="Times New Roman"/>
          <w:szCs w:val="20"/>
          <w:lang w:val="en-US"/>
        </w:rPr>
        <w:t>results of the identification and harmonization activities under the interoperability INSPIRE component.</w:t>
      </w:r>
      <w:r w:rsidRPr="00DB076C">
        <w:rPr>
          <w:rFonts w:ascii="Times New Roman" w:hAnsi="Times New Roman" w:cs="Times New Roman"/>
          <w:szCs w:val="20"/>
          <w:lang w:val="en-US"/>
        </w:rPr>
        <w:t xml:space="preserve">  </w:t>
      </w:r>
    </w:p>
    <w:p w14:paraId="30376082" w14:textId="77777777" w:rsidR="00C54B47" w:rsidRPr="00DB076C" w:rsidRDefault="00C54B47" w:rsidP="006C6B10">
      <w:pPr>
        <w:jc w:val="both"/>
        <w:rPr>
          <w:rFonts w:ascii="Times New Roman" w:hAnsi="Times New Roman" w:cs="Times New Roman"/>
          <w:szCs w:val="20"/>
          <w:lang w:val="en-US"/>
        </w:rPr>
      </w:pPr>
    </w:p>
    <w:p w14:paraId="577E391C" w14:textId="77777777" w:rsidR="00C54B47" w:rsidRPr="00DB076C" w:rsidRDefault="00C54B47" w:rsidP="006C6B10">
      <w:pPr>
        <w:jc w:val="both"/>
        <w:rPr>
          <w:rFonts w:ascii="Times New Roman" w:hAnsi="Times New Roman" w:cs="Times New Roman"/>
          <w:b/>
          <w:szCs w:val="20"/>
          <w:lang w:val="en-US"/>
        </w:rPr>
      </w:pPr>
      <w:r w:rsidRPr="00DB076C">
        <w:rPr>
          <w:rFonts w:ascii="Times New Roman" w:hAnsi="Times New Roman" w:cs="Times New Roman"/>
          <w:b/>
          <w:szCs w:val="20"/>
          <w:lang w:val="en-US"/>
        </w:rPr>
        <w:t>Compliance with INSPIRE requirements on Data-sharing between authorities</w:t>
      </w:r>
    </w:p>
    <w:p w14:paraId="2061D7DE" w14:textId="77777777" w:rsidR="00C5659B" w:rsidRPr="00DB076C" w:rsidRDefault="00C5659B" w:rsidP="006C6B10">
      <w:pPr>
        <w:jc w:val="both"/>
        <w:rPr>
          <w:rFonts w:ascii="Times New Roman" w:hAnsi="Times New Roman" w:cs="Times New Roman"/>
          <w:b/>
          <w:szCs w:val="20"/>
          <w:lang w:val="en-US"/>
        </w:rPr>
      </w:pPr>
    </w:p>
    <w:p w14:paraId="64A31A51" w14:textId="77777777" w:rsidR="00C5659B" w:rsidRPr="00DB076C" w:rsidRDefault="00C5659B" w:rsidP="006C6B10">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Slovakia is facing significant challenges with regards to the harmonized data sharing arrangements. Main issues are related to the heterogeneous interpretation of INSPIRE and related legal framework, resistance to harmonize and simplify data sharing, absence of harmonized data sharing licenses and agreements, availability of public spatial resources under the public domain.  </w:t>
      </w:r>
    </w:p>
    <w:p w14:paraId="603577E1" w14:textId="77777777" w:rsidR="00141133" w:rsidRPr="00DB076C" w:rsidRDefault="00141133" w:rsidP="006C6B10">
      <w:pPr>
        <w:jc w:val="both"/>
        <w:rPr>
          <w:rFonts w:ascii="Times New Roman" w:hAnsi="Times New Roman" w:cs="Times New Roman"/>
          <w:szCs w:val="20"/>
          <w:lang w:val="en-US"/>
        </w:rPr>
      </w:pPr>
    </w:p>
    <w:p w14:paraId="7E44E680" w14:textId="77777777" w:rsidR="00C54B47" w:rsidRPr="00DB076C" w:rsidRDefault="00C54B47" w:rsidP="006C6B10">
      <w:pPr>
        <w:jc w:val="both"/>
        <w:rPr>
          <w:rFonts w:ascii="Times New Roman" w:hAnsi="Times New Roman" w:cs="Times New Roman"/>
          <w:i/>
          <w:szCs w:val="20"/>
          <w:lang w:val="en-US"/>
        </w:rPr>
      </w:pPr>
      <w:r w:rsidRPr="00DB076C">
        <w:rPr>
          <w:rFonts w:ascii="Times New Roman" w:hAnsi="Times New Roman" w:cs="Times New Roman"/>
          <w:i/>
          <w:szCs w:val="20"/>
          <w:lang w:val="en-US"/>
        </w:rPr>
        <w:t>Related action:</w:t>
      </w:r>
    </w:p>
    <w:p w14:paraId="344BAEB1" w14:textId="77777777" w:rsidR="00CE5941" w:rsidRPr="00DB076C" w:rsidRDefault="00CE5941" w:rsidP="006C6B10">
      <w:pPr>
        <w:jc w:val="both"/>
        <w:rPr>
          <w:rFonts w:ascii="Times New Roman" w:hAnsi="Times New Roman" w:cs="Times New Roman"/>
          <w:i/>
          <w:szCs w:val="20"/>
          <w:lang w:val="en-US"/>
        </w:rPr>
      </w:pPr>
    </w:p>
    <w:p w14:paraId="56798F3F" w14:textId="77777777" w:rsidR="00CE5941" w:rsidRPr="00DB076C" w:rsidRDefault="00CE5941" w:rsidP="006C6B10">
      <w:pPr>
        <w:jc w:val="both"/>
        <w:rPr>
          <w:rFonts w:ascii="Times New Roman" w:hAnsi="Times New Roman" w:cs="Times New Roman"/>
          <w:szCs w:val="20"/>
          <w:lang w:val="en-US"/>
        </w:rPr>
      </w:pPr>
      <w:r w:rsidRPr="00DB076C">
        <w:rPr>
          <w:rFonts w:ascii="Times New Roman" w:hAnsi="Times New Roman" w:cs="Times New Roman"/>
          <w:szCs w:val="20"/>
          <w:lang w:val="en-US"/>
        </w:rPr>
        <w:t xml:space="preserve">In order to improve the situation, update of legal framework is foreseen to take place (Decree No.352/2011 </w:t>
      </w:r>
      <w:proofErr w:type="spellStart"/>
      <w:r w:rsidRPr="00DB076C">
        <w:rPr>
          <w:rFonts w:ascii="Times New Roman" w:hAnsi="Times New Roman" w:cs="Times New Roman"/>
          <w:szCs w:val="20"/>
          <w:lang w:val="en-US"/>
        </w:rPr>
        <w:t>Coll</w:t>
      </w:r>
      <w:proofErr w:type="spellEnd"/>
      <w:r w:rsidRPr="00DB076C">
        <w:rPr>
          <w:rFonts w:ascii="Times New Roman" w:hAnsi="Times New Roman" w:cs="Times New Roman"/>
          <w:szCs w:val="20"/>
          <w:lang w:val="en-US"/>
        </w:rPr>
        <w:t xml:space="preserve">), including the preparation of harmonized license templates and creation of the NIPI License Policy providing further guidance. </w:t>
      </w:r>
    </w:p>
    <w:p w14:paraId="107940A7" w14:textId="77777777" w:rsidR="00C54B47" w:rsidRPr="008816C8" w:rsidRDefault="00C54B47" w:rsidP="006C6B10">
      <w:pPr>
        <w:jc w:val="both"/>
        <w:rPr>
          <w:i/>
          <w:lang w:val="en-US"/>
        </w:rPr>
      </w:pPr>
    </w:p>
    <w:p w14:paraId="16B1F534" w14:textId="77777777" w:rsidR="00C54B47" w:rsidRPr="008816C8" w:rsidRDefault="00C54B47" w:rsidP="006C6B10">
      <w:pPr>
        <w:jc w:val="both"/>
        <w:rPr>
          <w:i/>
          <w:lang w:val="en-US"/>
        </w:rPr>
      </w:pPr>
    </w:p>
    <w:p w14:paraId="441877A6" w14:textId="77777777" w:rsidR="00C54B47" w:rsidRPr="008816C8" w:rsidRDefault="00C54B47" w:rsidP="006C6B10">
      <w:pPr>
        <w:jc w:val="both"/>
        <w:rPr>
          <w:i/>
          <w:lang w:val="en-US"/>
        </w:rPr>
      </w:pPr>
    </w:p>
    <w:p w14:paraId="79B2F823" w14:textId="77777777" w:rsidR="00C54B47" w:rsidRPr="008816C8" w:rsidRDefault="00C54B47" w:rsidP="006C6B10">
      <w:pPr>
        <w:jc w:val="both"/>
        <w:rPr>
          <w:i/>
          <w:lang w:val="en-US"/>
        </w:rPr>
      </w:pPr>
    </w:p>
    <w:p w14:paraId="61E658F0" w14:textId="77777777" w:rsidR="009200F7" w:rsidRPr="008816C8" w:rsidRDefault="009200F7" w:rsidP="006C6B10">
      <w:pPr>
        <w:jc w:val="both"/>
        <w:rPr>
          <w:i/>
          <w:lang w:val="en-US"/>
        </w:rPr>
      </w:pPr>
    </w:p>
    <w:p w14:paraId="5CEEE3B3" w14:textId="77777777" w:rsidR="009200F7" w:rsidRPr="008816C8" w:rsidRDefault="009200F7" w:rsidP="009200F7">
      <w:pPr>
        <w:pStyle w:val="BodyText2"/>
        <w:rPr>
          <w:color w:val="auto"/>
          <w:lang w:val="en-US"/>
        </w:rPr>
      </w:pPr>
      <w:r w:rsidRPr="008816C8">
        <w:rPr>
          <w:color w:val="auto"/>
          <w:lang w:val="en-US"/>
        </w:rPr>
        <w:lastRenderedPageBreak/>
        <w:t>INSPIRE Action Plan 2016 - 2021</w:t>
      </w:r>
    </w:p>
    <w:p w14:paraId="53A2352D" w14:textId="77777777" w:rsidR="009200F7" w:rsidRPr="008816C8" w:rsidRDefault="009200F7" w:rsidP="009200F7">
      <w:pPr>
        <w:pBdr>
          <w:bottom w:val="single" w:sz="12" w:space="0" w:color="auto"/>
        </w:pBdr>
        <w:rPr>
          <w:lang w:val="en-US"/>
        </w:rPr>
      </w:pPr>
    </w:p>
    <w:p w14:paraId="10DECF73" w14:textId="77777777" w:rsidR="009200F7" w:rsidRPr="008816C8" w:rsidRDefault="009200F7" w:rsidP="009200F7">
      <w:pPr>
        <w:pStyle w:val="BodyText2"/>
        <w:rPr>
          <w:color w:val="auto"/>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3629"/>
        <w:gridCol w:w="1559"/>
        <w:gridCol w:w="1560"/>
        <w:gridCol w:w="2551"/>
      </w:tblGrid>
      <w:tr w:rsidR="009200F7" w:rsidRPr="008816C8" w14:paraId="2B47FE57" w14:textId="77777777" w:rsidTr="0039785F">
        <w:tblPrEx>
          <w:tblCellMar>
            <w:top w:w="0" w:type="dxa"/>
            <w:bottom w:w="0" w:type="dxa"/>
          </w:tblCellMar>
        </w:tblPrEx>
        <w:trPr>
          <w:tblHeader/>
        </w:trPr>
        <w:tc>
          <w:tcPr>
            <w:tcW w:w="590" w:type="dxa"/>
          </w:tcPr>
          <w:p w14:paraId="4EC928EC" w14:textId="77777777" w:rsidR="009200F7" w:rsidRPr="008816C8" w:rsidRDefault="009200F7" w:rsidP="0039785F">
            <w:pPr>
              <w:pStyle w:val="BodyText2"/>
              <w:rPr>
                <w:color w:val="auto"/>
                <w:lang w:val="en-US"/>
              </w:rPr>
            </w:pPr>
            <w:r w:rsidRPr="008816C8">
              <w:rPr>
                <w:color w:val="auto"/>
                <w:lang w:val="en-US"/>
              </w:rPr>
              <w:t>No.</w:t>
            </w:r>
          </w:p>
        </w:tc>
        <w:tc>
          <w:tcPr>
            <w:tcW w:w="3629" w:type="dxa"/>
          </w:tcPr>
          <w:p w14:paraId="1633BDC7" w14:textId="77777777" w:rsidR="009200F7" w:rsidRPr="008816C8" w:rsidRDefault="009200F7" w:rsidP="0039785F">
            <w:pPr>
              <w:pStyle w:val="BodyText2"/>
              <w:rPr>
                <w:color w:val="auto"/>
                <w:lang w:val="en-US"/>
              </w:rPr>
            </w:pPr>
            <w:r w:rsidRPr="008816C8">
              <w:rPr>
                <w:color w:val="auto"/>
                <w:lang w:val="en-US"/>
              </w:rPr>
              <w:t xml:space="preserve">Action title </w:t>
            </w:r>
          </w:p>
          <w:p w14:paraId="5A043F2D" w14:textId="77777777" w:rsidR="009200F7" w:rsidRPr="008816C8" w:rsidRDefault="009200F7" w:rsidP="0039785F">
            <w:pPr>
              <w:pStyle w:val="BodyText2"/>
              <w:rPr>
                <w:color w:val="auto"/>
                <w:lang w:val="en-US"/>
              </w:rPr>
            </w:pPr>
            <w:r w:rsidRPr="008816C8">
              <w:rPr>
                <w:color w:val="auto"/>
                <w:lang w:val="en-US"/>
              </w:rPr>
              <w:t>(Action outcome)</w:t>
            </w:r>
          </w:p>
        </w:tc>
        <w:tc>
          <w:tcPr>
            <w:tcW w:w="1559" w:type="dxa"/>
          </w:tcPr>
          <w:p w14:paraId="6FF890EA" w14:textId="77777777" w:rsidR="009200F7" w:rsidRPr="008816C8" w:rsidRDefault="009200F7" w:rsidP="0039785F">
            <w:pPr>
              <w:pStyle w:val="BodyText2"/>
              <w:rPr>
                <w:color w:val="auto"/>
                <w:lang w:val="en-US"/>
              </w:rPr>
            </w:pPr>
            <w:r w:rsidRPr="008816C8">
              <w:rPr>
                <w:color w:val="auto"/>
                <w:lang w:val="en-US"/>
              </w:rPr>
              <w:t>Milestone</w:t>
            </w:r>
          </w:p>
        </w:tc>
        <w:tc>
          <w:tcPr>
            <w:tcW w:w="1560" w:type="dxa"/>
          </w:tcPr>
          <w:p w14:paraId="2DDC4C9B" w14:textId="77777777" w:rsidR="009200F7" w:rsidRPr="008816C8" w:rsidRDefault="009200F7" w:rsidP="0039785F">
            <w:pPr>
              <w:pStyle w:val="BodyText2"/>
              <w:rPr>
                <w:color w:val="auto"/>
                <w:lang w:val="en-US"/>
              </w:rPr>
            </w:pPr>
            <w:r w:rsidRPr="008816C8">
              <w:rPr>
                <w:color w:val="auto"/>
                <w:lang w:val="en-US"/>
              </w:rPr>
              <w:t>Responsible/ co-responsible</w:t>
            </w:r>
          </w:p>
        </w:tc>
        <w:tc>
          <w:tcPr>
            <w:tcW w:w="2551" w:type="dxa"/>
          </w:tcPr>
          <w:p w14:paraId="7773A9DA" w14:textId="77777777" w:rsidR="009200F7" w:rsidRPr="008816C8" w:rsidRDefault="009200F7" w:rsidP="0039785F">
            <w:pPr>
              <w:pStyle w:val="BodyText2"/>
              <w:rPr>
                <w:color w:val="auto"/>
                <w:lang w:val="en-US"/>
              </w:rPr>
            </w:pPr>
            <w:r w:rsidRPr="008816C8">
              <w:rPr>
                <w:color w:val="auto"/>
                <w:lang w:val="en-US"/>
              </w:rPr>
              <w:t>Note</w:t>
            </w:r>
          </w:p>
        </w:tc>
      </w:tr>
      <w:tr w:rsidR="009200F7" w:rsidRPr="008816C8" w14:paraId="60B78CAF" w14:textId="77777777" w:rsidTr="0039785F">
        <w:tblPrEx>
          <w:tblCellMar>
            <w:top w:w="0" w:type="dxa"/>
            <w:bottom w:w="0" w:type="dxa"/>
          </w:tblCellMar>
        </w:tblPrEx>
        <w:tc>
          <w:tcPr>
            <w:tcW w:w="590" w:type="dxa"/>
          </w:tcPr>
          <w:p w14:paraId="03F52A0C" w14:textId="77777777" w:rsidR="009200F7" w:rsidRPr="008816C8" w:rsidRDefault="009200F7" w:rsidP="0039785F">
            <w:pPr>
              <w:pStyle w:val="BodyText2"/>
              <w:rPr>
                <w:color w:val="auto"/>
                <w:lang w:val="en-US"/>
              </w:rPr>
            </w:pPr>
          </w:p>
        </w:tc>
        <w:tc>
          <w:tcPr>
            <w:tcW w:w="3629" w:type="dxa"/>
          </w:tcPr>
          <w:p w14:paraId="6F5ACB0C" w14:textId="77777777" w:rsidR="009200F7" w:rsidRPr="008816C8" w:rsidRDefault="009200F7" w:rsidP="0039785F">
            <w:pPr>
              <w:pStyle w:val="BodyText2"/>
              <w:rPr>
                <w:color w:val="auto"/>
                <w:lang w:val="en-US"/>
              </w:rPr>
            </w:pPr>
            <w:r w:rsidRPr="008816C8">
              <w:rPr>
                <w:color w:val="auto"/>
                <w:lang w:val="en-US"/>
              </w:rPr>
              <w:t>Coordination</w:t>
            </w:r>
          </w:p>
        </w:tc>
        <w:tc>
          <w:tcPr>
            <w:tcW w:w="1559" w:type="dxa"/>
          </w:tcPr>
          <w:p w14:paraId="092C9083" w14:textId="77777777" w:rsidR="009200F7" w:rsidRPr="008816C8" w:rsidRDefault="009200F7" w:rsidP="0039785F">
            <w:pPr>
              <w:pStyle w:val="BodyText2"/>
              <w:rPr>
                <w:color w:val="auto"/>
                <w:lang w:val="en-US"/>
              </w:rPr>
            </w:pPr>
          </w:p>
        </w:tc>
        <w:tc>
          <w:tcPr>
            <w:tcW w:w="1560" w:type="dxa"/>
          </w:tcPr>
          <w:p w14:paraId="0DB09C87" w14:textId="77777777" w:rsidR="009200F7" w:rsidRPr="008816C8" w:rsidRDefault="009200F7" w:rsidP="0039785F">
            <w:pPr>
              <w:pStyle w:val="BodyText2"/>
              <w:rPr>
                <w:color w:val="FF0000"/>
                <w:lang w:val="en-US"/>
              </w:rPr>
            </w:pPr>
          </w:p>
        </w:tc>
        <w:tc>
          <w:tcPr>
            <w:tcW w:w="2551" w:type="dxa"/>
          </w:tcPr>
          <w:p w14:paraId="4B719D97" w14:textId="77777777" w:rsidR="009200F7" w:rsidRPr="008816C8" w:rsidRDefault="009200F7" w:rsidP="0039785F">
            <w:pPr>
              <w:pStyle w:val="BodyText2"/>
              <w:rPr>
                <w:color w:val="FF0000"/>
                <w:lang w:val="en-US"/>
              </w:rPr>
            </w:pPr>
          </w:p>
        </w:tc>
      </w:tr>
      <w:tr w:rsidR="009200F7" w:rsidRPr="008816C8" w14:paraId="313FE75E" w14:textId="77777777" w:rsidTr="0039785F">
        <w:tblPrEx>
          <w:tblCellMar>
            <w:top w:w="0" w:type="dxa"/>
            <w:bottom w:w="0" w:type="dxa"/>
          </w:tblCellMar>
        </w:tblPrEx>
        <w:tc>
          <w:tcPr>
            <w:tcW w:w="590" w:type="dxa"/>
          </w:tcPr>
          <w:p w14:paraId="7C9D05D0" w14:textId="77777777" w:rsidR="009200F7" w:rsidRPr="008816C8" w:rsidRDefault="009200F7" w:rsidP="0039785F">
            <w:pPr>
              <w:pStyle w:val="BodyText2"/>
              <w:rPr>
                <w:color w:val="auto"/>
                <w:lang w:val="en-US"/>
              </w:rPr>
            </w:pPr>
            <w:r w:rsidRPr="008816C8">
              <w:rPr>
                <w:color w:val="auto"/>
                <w:lang w:val="en-US"/>
              </w:rPr>
              <w:t>01</w:t>
            </w:r>
          </w:p>
        </w:tc>
        <w:tc>
          <w:tcPr>
            <w:tcW w:w="3629" w:type="dxa"/>
          </w:tcPr>
          <w:p w14:paraId="2EF50083" w14:textId="77777777" w:rsidR="009200F7" w:rsidRPr="008816C8" w:rsidRDefault="009200F7" w:rsidP="0039785F">
            <w:pPr>
              <w:pStyle w:val="BodyText2"/>
              <w:rPr>
                <w:color w:val="auto"/>
                <w:lang w:val="en-US"/>
              </w:rPr>
            </w:pPr>
            <w:r w:rsidRPr="008816C8">
              <w:rPr>
                <w:b w:val="0"/>
                <w:color w:val="auto"/>
                <w:lang w:val="en-US"/>
              </w:rPr>
              <w:t>Preparation of the INSPIRE implementation strategy for SK (INSPIRE implementation strategy in SK)</w:t>
            </w:r>
          </w:p>
        </w:tc>
        <w:tc>
          <w:tcPr>
            <w:tcW w:w="1559" w:type="dxa"/>
          </w:tcPr>
          <w:p w14:paraId="0821767D" w14:textId="77777777" w:rsidR="009200F7" w:rsidRPr="008816C8" w:rsidRDefault="009200F7" w:rsidP="0039785F">
            <w:pPr>
              <w:pStyle w:val="BodyText2"/>
              <w:rPr>
                <w:color w:val="auto"/>
                <w:lang w:val="en-US"/>
              </w:rPr>
            </w:pPr>
            <w:r w:rsidRPr="008816C8">
              <w:rPr>
                <w:color w:val="auto"/>
                <w:lang w:val="en-US"/>
              </w:rPr>
              <w:t>09/2016</w:t>
            </w:r>
          </w:p>
        </w:tc>
        <w:tc>
          <w:tcPr>
            <w:tcW w:w="1560" w:type="dxa"/>
          </w:tcPr>
          <w:p w14:paraId="06CB452C" w14:textId="77777777" w:rsidR="009200F7" w:rsidRPr="008816C8" w:rsidRDefault="009200F7" w:rsidP="0039785F">
            <w:pPr>
              <w:pStyle w:val="BodyText2"/>
              <w:rPr>
                <w:color w:val="FF0000"/>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3F295F75" w14:textId="77777777" w:rsidR="009200F7" w:rsidRPr="008816C8" w:rsidRDefault="009200F7" w:rsidP="0039785F">
            <w:pPr>
              <w:pStyle w:val="BodyText2"/>
              <w:rPr>
                <w:b w:val="0"/>
                <w:color w:val="FF0000"/>
                <w:lang w:val="en-US"/>
              </w:rPr>
            </w:pPr>
            <w:r w:rsidRPr="008816C8">
              <w:rPr>
                <w:b w:val="0"/>
                <w:color w:val="auto"/>
                <w:lang w:val="en-US"/>
              </w:rPr>
              <w:t>Document providing detailed clarification of the conditions for implementation of INSPIRE 2007/2/ES legal requirements for the period 2016 - 2020</w:t>
            </w:r>
          </w:p>
        </w:tc>
      </w:tr>
      <w:tr w:rsidR="009200F7" w:rsidRPr="008816C8" w14:paraId="27503203" w14:textId="77777777" w:rsidTr="0039785F">
        <w:tblPrEx>
          <w:tblCellMar>
            <w:top w:w="0" w:type="dxa"/>
            <w:bottom w:w="0" w:type="dxa"/>
          </w:tblCellMar>
        </w:tblPrEx>
        <w:tc>
          <w:tcPr>
            <w:tcW w:w="590" w:type="dxa"/>
          </w:tcPr>
          <w:p w14:paraId="7B9BCF25" w14:textId="77777777" w:rsidR="009200F7" w:rsidRPr="008816C8" w:rsidRDefault="009200F7" w:rsidP="0039785F">
            <w:pPr>
              <w:pStyle w:val="BodyText2"/>
              <w:rPr>
                <w:color w:val="auto"/>
                <w:lang w:val="en-US"/>
              </w:rPr>
            </w:pPr>
            <w:r w:rsidRPr="008816C8">
              <w:rPr>
                <w:color w:val="auto"/>
                <w:lang w:val="en-US"/>
              </w:rPr>
              <w:t>02</w:t>
            </w:r>
          </w:p>
        </w:tc>
        <w:tc>
          <w:tcPr>
            <w:tcW w:w="3629" w:type="dxa"/>
          </w:tcPr>
          <w:p w14:paraId="2366C204" w14:textId="77777777" w:rsidR="009200F7" w:rsidRPr="008816C8" w:rsidRDefault="009200F7" w:rsidP="0039785F">
            <w:pPr>
              <w:pStyle w:val="BodyText2"/>
              <w:rPr>
                <w:color w:val="auto"/>
                <w:lang w:val="en-US"/>
              </w:rPr>
            </w:pPr>
            <w:r w:rsidRPr="008816C8">
              <w:rPr>
                <w:b w:val="0"/>
                <w:color w:val="auto"/>
                <w:lang w:val="en-US"/>
              </w:rPr>
              <w:t>Coordination of the Expert group and Technical groups activities (Organizing and documentation of the Expert group and Technical groups activities)</w:t>
            </w:r>
          </w:p>
        </w:tc>
        <w:tc>
          <w:tcPr>
            <w:tcW w:w="1559" w:type="dxa"/>
          </w:tcPr>
          <w:p w14:paraId="382DEBCB" w14:textId="77777777" w:rsidR="009200F7" w:rsidRPr="008816C8" w:rsidRDefault="009200F7" w:rsidP="0039785F">
            <w:pPr>
              <w:pStyle w:val="BodyText2"/>
              <w:rPr>
                <w:color w:val="auto"/>
                <w:lang w:val="en-US"/>
              </w:rPr>
            </w:pPr>
            <w:r w:rsidRPr="008816C8">
              <w:rPr>
                <w:color w:val="auto"/>
                <w:lang w:val="en-US"/>
              </w:rPr>
              <w:t>2016 - 2020</w:t>
            </w:r>
          </w:p>
        </w:tc>
        <w:tc>
          <w:tcPr>
            <w:tcW w:w="1560" w:type="dxa"/>
          </w:tcPr>
          <w:p w14:paraId="54BBAA81" w14:textId="77777777" w:rsidR="009200F7" w:rsidRPr="008816C8" w:rsidRDefault="009200F7" w:rsidP="0039785F">
            <w:pPr>
              <w:pStyle w:val="BodyText2"/>
              <w:rPr>
                <w:color w:val="FF0000"/>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3E88F5F3" w14:textId="77777777" w:rsidR="009200F7" w:rsidRPr="008816C8" w:rsidRDefault="009200F7" w:rsidP="0039785F">
            <w:pPr>
              <w:pStyle w:val="BodyText2"/>
              <w:rPr>
                <w:color w:val="FF0000"/>
                <w:lang w:val="en-US"/>
              </w:rPr>
            </w:pPr>
            <w:r w:rsidRPr="008816C8">
              <w:rPr>
                <w:b w:val="0"/>
                <w:color w:val="auto"/>
                <w:lang w:val="en-US"/>
              </w:rPr>
              <w:t>Regular information will be continuously provided to the KR NIPI members and published via SK INSPIRE website</w:t>
            </w:r>
            <w:r w:rsidRPr="008816C8">
              <w:rPr>
                <w:rStyle w:val="FootnoteReference"/>
                <w:b w:val="0"/>
                <w:color w:val="auto"/>
                <w:lang w:val="en-US"/>
              </w:rPr>
              <w:footnoteReference w:id="2"/>
            </w:r>
            <w:r w:rsidRPr="008816C8">
              <w:rPr>
                <w:b w:val="0"/>
                <w:color w:val="auto"/>
                <w:lang w:val="en-US"/>
              </w:rPr>
              <w:t xml:space="preserve"> </w:t>
            </w:r>
          </w:p>
        </w:tc>
      </w:tr>
      <w:tr w:rsidR="009200F7" w:rsidRPr="008816C8" w14:paraId="35030FE3" w14:textId="77777777" w:rsidTr="0039785F">
        <w:tblPrEx>
          <w:tblCellMar>
            <w:top w:w="0" w:type="dxa"/>
            <w:bottom w:w="0" w:type="dxa"/>
          </w:tblCellMar>
        </w:tblPrEx>
        <w:tc>
          <w:tcPr>
            <w:tcW w:w="590" w:type="dxa"/>
          </w:tcPr>
          <w:p w14:paraId="4A9B628C" w14:textId="77777777" w:rsidR="009200F7" w:rsidRPr="008816C8" w:rsidRDefault="009200F7" w:rsidP="0039785F">
            <w:pPr>
              <w:pStyle w:val="BodyText2"/>
              <w:rPr>
                <w:color w:val="auto"/>
                <w:lang w:val="en-US"/>
              </w:rPr>
            </w:pPr>
            <w:r w:rsidRPr="008816C8">
              <w:rPr>
                <w:color w:val="auto"/>
                <w:lang w:val="en-US"/>
              </w:rPr>
              <w:t>03</w:t>
            </w:r>
          </w:p>
        </w:tc>
        <w:tc>
          <w:tcPr>
            <w:tcW w:w="3629" w:type="dxa"/>
          </w:tcPr>
          <w:p w14:paraId="46207D4F" w14:textId="77777777" w:rsidR="009200F7" w:rsidRPr="008816C8" w:rsidRDefault="009200F7" w:rsidP="0039785F">
            <w:pPr>
              <w:pStyle w:val="BodyText2"/>
              <w:rPr>
                <w:b w:val="0"/>
                <w:color w:val="auto"/>
                <w:lang w:val="en-US"/>
              </w:rPr>
            </w:pPr>
            <w:r w:rsidRPr="008816C8">
              <w:rPr>
                <w:b w:val="0"/>
                <w:color w:val="auto"/>
                <w:lang w:val="en-US"/>
              </w:rPr>
              <w:t xml:space="preserve">Coordination with the </w:t>
            </w:r>
            <w:proofErr w:type="spellStart"/>
            <w:r w:rsidRPr="008816C8">
              <w:rPr>
                <w:b w:val="0"/>
                <w:color w:val="auto"/>
                <w:lang w:val="en-US"/>
              </w:rPr>
              <w:t>eGovernment</w:t>
            </w:r>
            <w:proofErr w:type="spellEnd"/>
            <w:r w:rsidRPr="008816C8">
              <w:rPr>
                <w:b w:val="0"/>
                <w:color w:val="auto"/>
                <w:lang w:val="en-US"/>
              </w:rPr>
              <w:t xml:space="preserve"> a Open Data activities</w:t>
            </w:r>
          </w:p>
          <w:p w14:paraId="6774217B" w14:textId="77777777" w:rsidR="009200F7" w:rsidRPr="008816C8" w:rsidRDefault="009200F7" w:rsidP="0039785F">
            <w:pPr>
              <w:pStyle w:val="BodyText2"/>
              <w:rPr>
                <w:b w:val="0"/>
                <w:color w:val="auto"/>
                <w:lang w:val="en-US"/>
              </w:rPr>
            </w:pPr>
            <w:r w:rsidRPr="008816C8">
              <w:rPr>
                <w:b w:val="0"/>
                <w:color w:val="auto"/>
                <w:lang w:val="en-US"/>
              </w:rPr>
              <w:t xml:space="preserve">(Tasks and outcomes in line with the requirements of the </w:t>
            </w:r>
            <w:proofErr w:type="spellStart"/>
            <w:r w:rsidRPr="008816C8">
              <w:rPr>
                <w:b w:val="0"/>
                <w:color w:val="auto"/>
                <w:lang w:val="en-US"/>
              </w:rPr>
              <w:t>eGovernment</w:t>
            </w:r>
            <w:proofErr w:type="spellEnd"/>
            <w:r w:rsidRPr="008816C8">
              <w:rPr>
                <w:b w:val="0"/>
                <w:color w:val="auto"/>
                <w:lang w:val="en-US"/>
              </w:rPr>
              <w:t xml:space="preserve"> and data preparing for the Open Data Portal + additional related outcomes)</w:t>
            </w:r>
          </w:p>
        </w:tc>
        <w:tc>
          <w:tcPr>
            <w:tcW w:w="1559" w:type="dxa"/>
          </w:tcPr>
          <w:p w14:paraId="6D354718" w14:textId="77777777" w:rsidR="009200F7" w:rsidRPr="008816C8" w:rsidRDefault="009200F7" w:rsidP="002C560E">
            <w:pPr>
              <w:pStyle w:val="BodyText2"/>
              <w:rPr>
                <w:color w:val="auto"/>
                <w:lang w:val="en-US"/>
              </w:rPr>
            </w:pPr>
            <w:r w:rsidRPr="008816C8">
              <w:rPr>
                <w:color w:val="auto"/>
                <w:lang w:val="en-US"/>
              </w:rPr>
              <w:t>2016 - 202</w:t>
            </w:r>
            <w:r w:rsidR="002C560E">
              <w:rPr>
                <w:color w:val="auto"/>
                <w:lang w:val="en-US"/>
              </w:rPr>
              <w:t>1</w:t>
            </w:r>
          </w:p>
        </w:tc>
        <w:tc>
          <w:tcPr>
            <w:tcW w:w="1560" w:type="dxa"/>
          </w:tcPr>
          <w:p w14:paraId="2FF554A3" w14:textId="77777777" w:rsidR="009200F7" w:rsidRPr="008816C8" w:rsidRDefault="009200F7" w:rsidP="009200F7">
            <w:pPr>
              <w:pStyle w:val="BodyText2"/>
              <w:rPr>
                <w:b w:val="0"/>
                <w:color w:val="auto"/>
                <w:lang w:val="en-US"/>
              </w:rPr>
            </w:pPr>
            <w:r w:rsidRPr="008816C8">
              <w:rPr>
                <w:b w:val="0"/>
                <w:color w:val="auto"/>
                <w:lang w:val="en-US"/>
              </w:rPr>
              <w:t>KR NIPI</w:t>
            </w:r>
          </w:p>
          <w:p w14:paraId="71BCC0DC" w14:textId="77777777" w:rsidR="009200F7" w:rsidRPr="008816C8" w:rsidRDefault="009200F7" w:rsidP="009200F7">
            <w:pPr>
              <w:pStyle w:val="BodyText2"/>
              <w:rPr>
                <w:b w:val="0"/>
                <w:color w:val="auto"/>
                <w:lang w:val="en-US"/>
              </w:rPr>
            </w:pPr>
            <w:proofErr w:type="spellStart"/>
            <w:r w:rsidRPr="008816C8">
              <w:rPr>
                <w:b w:val="0"/>
                <w:color w:val="auto"/>
                <w:lang w:val="en-US"/>
              </w:rPr>
              <w:t>MoF</w:t>
            </w:r>
            <w:proofErr w:type="spellEnd"/>
            <w:r w:rsidRPr="008816C8">
              <w:rPr>
                <w:b w:val="0"/>
                <w:color w:val="auto"/>
                <w:lang w:val="en-US"/>
              </w:rPr>
              <w:t xml:space="preserve"> SR/GO, </w:t>
            </w:r>
            <w:proofErr w:type="spellStart"/>
            <w:r w:rsidRPr="008816C8">
              <w:rPr>
                <w:b w:val="0"/>
                <w:color w:val="auto"/>
                <w:lang w:val="en-US"/>
              </w:rPr>
              <w:t>MoE</w:t>
            </w:r>
            <w:proofErr w:type="spellEnd"/>
            <w:r w:rsidRPr="008816C8">
              <w:rPr>
                <w:b w:val="0"/>
                <w:color w:val="auto"/>
                <w:lang w:val="en-US"/>
              </w:rPr>
              <w:t xml:space="preserve"> SR /members</w:t>
            </w:r>
          </w:p>
        </w:tc>
        <w:tc>
          <w:tcPr>
            <w:tcW w:w="2551" w:type="dxa"/>
          </w:tcPr>
          <w:p w14:paraId="713FBB58" w14:textId="77777777" w:rsidR="009200F7" w:rsidRPr="008816C8" w:rsidRDefault="009200F7" w:rsidP="0039785F">
            <w:pPr>
              <w:pStyle w:val="BodyText2"/>
              <w:rPr>
                <w:b w:val="0"/>
                <w:color w:val="auto"/>
                <w:lang w:val="en-US"/>
              </w:rPr>
            </w:pPr>
            <w:r w:rsidRPr="008816C8">
              <w:rPr>
                <w:b w:val="0"/>
                <w:color w:val="auto"/>
                <w:lang w:val="en-US"/>
              </w:rPr>
              <w:t>Coordination with Open Data activities in connection to the Resolution of the Slovak Government no.59/2015</w:t>
            </w:r>
            <w:r w:rsidRPr="008816C8">
              <w:rPr>
                <w:rStyle w:val="FootnoteReference"/>
                <w:b w:val="0"/>
                <w:color w:val="auto"/>
                <w:lang w:val="en-US"/>
              </w:rPr>
              <w:footnoteReference w:id="3"/>
            </w:r>
          </w:p>
        </w:tc>
      </w:tr>
      <w:tr w:rsidR="009200F7" w:rsidRPr="008816C8" w14:paraId="59E5C327" w14:textId="77777777" w:rsidTr="0039785F">
        <w:tblPrEx>
          <w:tblCellMar>
            <w:top w:w="0" w:type="dxa"/>
            <w:bottom w:w="0" w:type="dxa"/>
          </w:tblCellMar>
        </w:tblPrEx>
        <w:tc>
          <w:tcPr>
            <w:tcW w:w="590" w:type="dxa"/>
          </w:tcPr>
          <w:p w14:paraId="5185471D" w14:textId="77777777" w:rsidR="009200F7" w:rsidRPr="008816C8" w:rsidRDefault="009200F7" w:rsidP="0039785F">
            <w:pPr>
              <w:pStyle w:val="BodyText2"/>
              <w:rPr>
                <w:color w:val="auto"/>
                <w:lang w:val="en-US"/>
              </w:rPr>
            </w:pPr>
            <w:r w:rsidRPr="008816C8">
              <w:rPr>
                <w:color w:val="auto"/>
                <w:lang w:val="en-US"/>
              </w:rPr>
              <w:t>04</w:t>
            </w:r>
          </w:p>
        </w:tc>
        <w:tc>
          <w:tcPr>
            <w:tcW w:w="3629" w:type="dxa"/>
          </w:tcPr>
          <w:p w14:paraId="0106009A" w14:textId="77777777" w:rsidR="009200F7" w:rsidRPr="008816C8" w:rsidRDefault="009200F7" w:rsidP="0039785F">
            <w:pPr>
              <w:pStyle w:val="BodyText2"/>
              <w:rPr>
                <w:b w:val="0"/>
                <w:color w:val="auto"/>
                <w:lang w:val="en-US"/>
              </w:rPr>
            </w:pPr>
            <w:r w:rsidRPr="008816C8">
              <w:rPr>
                <w:b w:val="0"/>
                <w:color w:val="auto"/>
                <w:lang w:val="en-US"/>
              </w:rPr>
              <w:t>NSDI awareness rising (</w:t>
            </w:r>
            <w:r w:rsidR="007E5E47" w:rsidRPr="008816C8">
              <w:rPr>
                <w:b w:val="0"/>
                <w:color w:val="auto"/>
                <w:lang w:val="en-US"/>
              </w:rPr>
              <w:t>Organization</w:t>
            </w:r>
            <w:r w:rsidRPr="008816C8">
              <w:rPr>
                <w:b w:val="0"/>
                <w:color w:val="auto"/>
                <w:lang w:val="en-US"/>
              </w:rPr>
              <w:t xml:space="preserve"> of the conferences </w:t>
            </w:r>
            <w:proofErr w:type="spellStart"/>
            <w:r w:rsidRPr="008816C8">
              <w:rPr>
                <w:b w:val="0"/>
                <w:color w:val="auto"/>
                <w:lang w:val="en-US"/>
              </w:rPr>
              <w:t>EnviroIForum</w:t>
            </w:r>
            <w:proofErr w:type="spellEnd"/>
            <w:r w:rsidRPr="008816C8">
              <w:rPr>
                <w:b w:val="0"/>
                <w:color w:val="auto"/>
                <w:lang w:val="en-US"/>
              </w:rPr>
              <w:t>, INSPIRUJME SE, publication of the information via SK INSPIRE website)</w:t>
            </w:r>
          </w:p>
        </w:tc>
        <w:tc>
          <w:tcPr>
            <w:tcW w:w="1559" w:type="dxa"/>
          </w:tcPr>
          <w:p w14:paraId="5E51B7FC" w14:textId="77777777" w:rsidR="009200F7" w:rsidRPr="008816C8" w:rsidRDefault="00B85985" w:rsidP="002C560E">
            <w:pPr>
              <w:pStyle w:val="BodyText2"/>
              <w:rPr>
                <w:color w:val="auto"/>
                <w:lang w:val="en-US"/>
              </w:rPr>
            </w:pPr>
            <w:r w:rsidRPr="008816C8">
              <w:rPr>
                <w:color w:val="auto"/>
                <w:lang w:val="en-US"/>
              </w:rPr>
              <w:t>2016 - 202</w:t>
            </w:r>
            <w:r w:rsidR="002C560E">
              <w:rPr>
                <w:color w:val="auto"/>
                <w:lang w:val="en-US"/>
              </w:rPr>
              <w:t>1</w:t>
            </w:r>
          </w:p>
        </w:tc>
        <w:tc>
          <w:tcPr>
            <w:tcW w:w="1560" w:type="dxa"/>
          </w:tcPr>
          <w:p w14:paraId="000C268E" w14:textId="77777777" w:rsidR="009200F7" w:rsidRPr="008816C8" w:rsidRDefault="009200F7" w:rsidP="0039785F">
            <w:pPr>
              <w:pStyle w:val="BodyText2"/>
              <w:rPr>
                <w:b w:val="0"/>
                <w:color w:val="auto"/>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6D2FB2A8" w14:textId="77777777" w:rsidR="009200F7" w:rsidRPr="008816C8" w:rsidRDefault="009200F7" w:rsidP="0039785F">
            <w:pPr>
              <w:pStyle w:val="BodyText2"/>
              <w:rPr>
                <w:b w:val="0"/>
                <w:color w:val="auto"/>
                <w:lang w:val="en-US"/>
              </w:rPr>
            </w:pPr>
            <w:r w:rsidRPr="008816C8">
              <w:rPr>
                <w:b w:val="0"/>
                <w:color w:val="auto"/>
                <w:lang w:val="en-US"/>
              </w:rPr>
              <w:t>Events, published and communicated information</w:t>
            </w:r>
          </w:p>
        </w:tc>
      </w:tr>
      <w:tr w:rsidR="009200F7" w:rsidRPr="008816C8" w14:paraId="29F8E17B" w14:textId="77777777" w:rsidTr="0039785F">
        <w:tblPrEx>
          <w:tblCellMar>
            <w:top w:w="0" w:type="dxa"/>
            <w:bottom w:w="0" w:type="dxa"/>
          </w:tblCellMar>
        </w:tblPrEx>
        <w:tc>
          <w:tcPr>
            <w:tcW w:w="590" w:type="dxa"/>
          </w:tcPr>
          <w:p w14:paraId="5E7C9AD7" w14:textId="77777777" w:rsidR="009200F7" w:rsidRPr="008816C8" w:rsidRDefault="009200F7" w:rsidP="0039785F">
            <w:pPr>
              <w:pStyle w:val="BodyText2"/>
              <w:rPr>
                <w:color w:val="auto"/>
                <w:lang w:val="en-US"/>
              </w:rPr>
            </w:pPr>
          </w:p>
        </w:tc>
        <w:tc>
          <w:tcPr>
            <w:tcW w:w="3629" w:type="dxa"/>
          </w:tcPr>
          <w:p w14:paraId="6D4D049E" w14:textId="77777777" w:rsidR="009200F7" w:rsidRPr="008816C8" w:rsidRDefault="009200F7" w:rsidP="0039785F">
            <w:pPr>
              <w:pStyle w:val="BodyText2"/>
              <w:rPr>
                <w:b w:val="0"/>
                <w:color w:val="auto"/>
                <w:lang w:val="en-US"/>
              </w:rPr>
            </w:pPr>
            <w:r w:rsidRPr="008816C8">
              <w:rPr>
                <w:color w:val="auto"/>
                <w:lang w:val="en-US"/>
              </w:rPr>
              <w:t>Spatial data and services interoperability</w:t>
            </w:r>
          </w:p>
        </w:tc>
        <w:tc>
          <w:tcPr>
            <w:tcW w:w="1559" w:type="dxa"/>
          </w:tcPr>
          <w:p w14:paraId="3EB70B6C" w14:textId="77777777" w:rsidR="009200F7" w:rsidRPr="008816C8" w:rsidRDefault="009200F7" w:rsidP="0039785F">
            <w:pPr>
              <w:pStyle w:val="BodyText2"/>
              <w:rPr>
                <w:color w:val="auto"/>
                <w:lang w:val="en-US"/>
              </w:rPr>
            </w:pPr>
          </w:p>
        </w:tc>
        <w:tc>
          <w:tcPr>
            <w:tcW w:w="1560" w:type="dxa"/>
          </w:tcPr>
          <w:p w14:paraId="0F3E08FA" w14:textId="77777777" w:rsidR="009200F7" w:rsidRPr="008816C8" w:rsidRDefault="009200F7" w:rsidP="0039785F">
            <w:pPr>
              <w:pStyle w:val="BodyText2"/>
              <w:rPr>
                <w:color w:val="FF0000"/>
                <w:lang w:val="en-US"/>
              </w:rPr>
            </w:pPr>
          </w:p>
        </w:tc>
        <w:tc>
          <w:tcPr>
            <w:tcW w:w="2551" w:type="dxa"/>
          </w:tcPr>
          <w:p w14:paraId="59EB1105" w14:textId="77777777" w:rsidR="009200F7" w:rsidRPr="008816C8" w:rsidRDefault="009200F7" w:rsidP="0039785F">
            <w:pPr>
              <w:pStyle w:val="BodyText2"/>
              <w:rPr>
                <w:color w:val="FF0000"/>
                <w:lang w:val="en-US"/>
              </w:rPr>
            </w:pPr>
          </w:p>
        </w:tc>
      </w:tr>
      <w:tr w:rsidR="009200F7" w:rsidRPr="008816C8" w14:paraId="449223A8" w14:textId="77777777" w:rsidTr="0039785F">
        <w:tblPrEx>
          <w:tblCellMar>
            <w:top w:w="0" w:type="dxa"/>
            <w:bottom w:w="0" w:type="dxa"/>
          </w:tblCellMar>
        </w:tblPrEx>
        <w:tc>
          <w:tcPr>
            <w:tcW w:w="590" w:type="dxa"/>
          </w:tcPr>
          <w:p w14:paraId="4BEEFE67" w14:textId="77777777" w:rsidR="009200F7" w:rsidRPr="008816C8" w:rsidRDefault="009200F7" w:rsidP="0039785F">
            <w:pPr>
              <w:pStyle w:val="BodyText2"/>
              <w:rPr>
                <w:color w:val="auto"/>
                <w:lang w:val="en-US"/>
              </w:rPr>
            </w:pPr>
            <w:r w:rsidRPr="008816C8">
              <w:rPr>
                <w:color w:val="auto"/>
                <w:lang w:val="en-US"/>
              </w:rPr>
              <w:t>05</w:t>
            </w:r>
          </w:p>
        </w:tc>
        <w:tc>
          <w:tcPr>
            <w:tcW w:w="3629" w:type="dxa"/>
          </w:tcPr>
          <w:p w14:paraId="2AA2A3A4" w14:textId="77777777" w:rsidR="009200F7" w:rsidRPr="008816C8" w:rsidRDefault="009200F7" w:rsidP="0039785F">
            <w:pPr>
              <w:pStyle w:val="BodyText2"/>
              <w:rPr>
                <w:b w:val="0"/>
                <w:color w:val="auto"/>
                <w:lang w:val="en-US"/>
              </w:rPr>
            </w:pPr>
            <w:r w:rsidRPr="008816C8">
              <w:rPr>
                <w:b w:val="0"/>
                <w:color w:val="auto"/>
                <w:lang w:val="en-US"/>
              </w:rPr>
              <w:t xml:space="preserve">Evaluation of the INSPIRE mapping tables inventory </w:t>
            </w:r>
          </w:p>
          <w:p w14:paraId="3C6C8579" w14:textId="77777777" w:rsidR="009200F7" w:rsidRPr="008816C8" w:rsidRDefault="009200F7" w:rsidP="0039785F">
            <w:pPr>
              <w:pStyle w:val="BodyText2"/>
              <w:rPr>
                <w:color w:val="auto"/>
                <w:lang w:val="en-US"/>
              </w:rPr>
            </w:pPr>
            <w:r w:rsidRPr="008816C8">
              <w:rPr>
                <w:b w:val="0"/>
                <w:color w:val="auto"/>
                <w:lang w:val="en-US"/>
              </w:rPr>
              <w:t>(List of identified mapping tables with the relevant update of the Register of Responsible Bodies</w:t>
            </w:r>
            <w:r w:rsidRPr="008816C8">
              <w:rPr>
                <w:rStyle w:val="FootnoteReference"/>
                <w:b w:val="0"/>
                <w:color w:val="auto"/>
                <w:lang w:val="en-US"/>
              </w:rPr>
              <w:footnoteReference w:id="4"/>
            </w:r>
            <w:r w:rsidRPr="008816C8">
              <w:rPr>
                <w:b w:val="0"/>
                <w:color w:val="auto"/>
                <w:lang w:val="en-US"/>
              </w:rPr>
              <w:t>)</w:t>
            </w:r>
          </w:p>
        </w:tc>
        <w:tc>
          <w:tcPr>
            <w:tcW w:w="1559" w:type="dxa"/>
          </w:tcPr>
          <w:p w14:paraId="2A4943F5" w14:textId="77777777" w:rsidR="009200F7" w:rsidRPr="008816C8" w:rsidRDefault="009200F7" w:rsidP="0039785F">
            <w:pPr>
              <w:pStyle w:val="BodyText2"/>
              <w:rPr>
                <w:color w:val="auto"/>
                <w:lang w:val="en-US"/>
              </w:rPr>
            </w:pPr>
            <w:r w:rsidRPr="008816C8">
              <w:rPr>
                <w:color w:val="auto"/>
                <w:lang w:val="en-US"/>
              </w:rPr>
              <w:t>03/2016</w:t>
            </w:r>
          </w:p>
        </w:tc>
        <w:tc>
          <w:tcPr>
            <w:tcW w:w="1560" w:type="dxa"/>
          </w:tcPr>
          <w:p w14:paraId="57C0CF0A" w14:textId="77777777" w:rsidR="009200F7" w:rsidRPr="008816C8" w:rsidRDefault="009200F7" w:rsidP="0039785F">
            <w:pPr>
              <w:pStyle w:val="BodyText2"/>
              <w:rPr>
                <w:color w:val="FF0000"/>
                <w:lang w:val="en-US"/>
              </w:rPr>
            </w:pPr>
            <w:proofErr w:type="spellStart"/>
            <w:r w:rsidRPr="008816C8">
              <w:rPr>
                <w:b w:val="0"/>
                <w:color w:val="auto"/>
                <w:lang w:val="en-US"/>
              </w:rPr>
              <w:t>MoE</w:t>
            </w:r>
            <w:proofErr w:type="spellEnd"/>
            <w:r w:rsidRPr="008816C8">
              <w:rPr>
                <w:b w:val="0"/>
                <w:color w:val="auto"/>
                <w:lang w:val="en-US"/>
              </w:rPr>
              <w:t xml:space="preserve"> SR</w:t>
            </w:r>
          </w:p>
        </w:tc>
        <w:tc>
          <w:tcPr>
            <w:tcW w:w="2551" w:type="dxa"/>
          </w:tcPr>
          <w:p w14:paraId="1AD3A5F3" w14:textId="77777777" w:rsidR="009200F7" w:rsidRPr="008816C8" w:rsidRDefault="009200F7" w:rsidP="0039785F">
            <w:pPr>
              <w:pStyle w:val="BodyText2"/>
              <w:rPr>
                <w:b w:val="0"/>
                <w:color w:val="auto"/>
                <w:lang w:val="en-US"/>
              </w:rPr>
            </w:pPr>
            <w:r w:rsidRPr="008816C8">
              <w:rPr>
                <w:b w:val="0"/>
                <w:color w:val="auto"/>
                <w:lang w:val="en-US"/>
              </w:rPr>
              <w:t>Results of the analysis implemented into the Register of Responsible Bodies</w:t>
            </w:r>
          </w:p>
        </w:tc>
      </w:tr>
      <w:tr w:rsidR="009200F7" w:rsidRPr="008816C8" w14:paraId="123C1E15" w14:textId="77777777" w:rsidTr="0039785F">
        <w:tblPrEx>
          <w:tblCellMar>
            <w:top w:w="0" w:type="dxa"/>
            <w:bottom w:w="0" w:type="dxa"/>
          </w:tblCellMar>
        </w:tblPrEx>
        <w:tc>
          <w:tcPr>
            <w:tcW w:w="590" w:type="dxa"/>
          </w:tcPr>
          <w:p w14:paraId="356ECFB4" w14:textId="77777777" w:rsidR="009200F7" w:rsidRPr="008816C8" w:rsidRDefault="009200F7" w:rsidP="0039785F">
            <w:pPr>
              <w:pStyle w:val="BodyText2"/>
              <w:rPr>
                <w:color w:val="auto"/>
                <w:lang w:val="en-US"/>
              </w:rPr>
            </w:pPr>
            <w:r w:rsidRPr="008816C8">
              <w:rPr>
                <w:color w:val="auto"/>
                <w:lang w:val="en-US"/>
              </w:rPr>
              <w:t>06</w:t>
            </w:r>
          </w:p>
        </w:tc>
        <w:tc>
          <w:tcPr>
            <w:tcW w:w="3629" w:type="dxa"/>
          </w:tcPr>
          <w:p w14:paraId="772306E7" w14:textId="77777777" w:rsidR="009200F7" w:rsidRPr="008816C8" w:rsidRDefault="009200F7" w:rsidP="0039785F">
            <w:pPr>
              <w:pStyle w:val="BodyText2"/>
              <w:rPr>
                <w:b w:val="0"/>
                <w:color w:val="auto"/>
                <w:lang w:val="en-US"/>
              </w:rPr>
            </w:pPr>
            <w:r w:rsidRPr="008816C8">
              <w:rPr>
                <w:b w:val="0"/>
                <w:color w:val="auto"/>
                <w:lang w:val="en-US"/>
              </w:rPr>
              <w:t>Spatial data and services interoperability Guidelines (Updated presentations and where needed , training video guidelines)</w:t>
            </w:r>
          </w:p>
        </w:tc>
        <w:tc>
          <w:tcPr>
            <w:tcW w:w="1559" w:type="dxa"/>
          </w:tcPr>
          <w:p w14:paraId="15CCB5F2" w14:textId="77777777" w:rsidR="009200F7" w:rsidRPr="008816C8" w:rsidRDefault="009200F7" w:rsidP="0039785F">
            <w:pPr>
              <w:pStyle w:val="BodyText2"/>
              <w:rPr>
                <w:color w:val="auto"/>
                <w:lang w:val="en-US"/>
              </w:rPr>
            </w:pPr>
            <w:r w:rsidRPr="008816C8">
              <w:rPr>
                <w:color w:val="auto"/>
                <w:lang w:val="en-US"/>
              </w:rPr>
              <w:t>02/2016</w:t>
            </w:r>
          </w:p>
        </w:tc>
        <w:tc>
          <w:tcPr>
            <w:tcW w:w="1560" w:type="dxa"/>
          </w:tcPr>
          <w:p w14:paraId="696CB949" w14:textId="77777777" w:rsidR="009200F7" w:rsidRPr="008816C8" w:rsidRDefault="009200F7" w:rsidP="0039785F">
            <w:pPr>
              <w:pStyle w:val="BodyText2"/>
              <w:rPr>
                <w:color w:val="FF0000"/>
                <w:lang w:val="en-US"/>
              </w:rPr>
            </w:pPr>
            <w:proofErr w:type="spellStart"/>
            <w:r w:rsidRPr="008816C8">
              <w:rPr>
                <w:b w:val="0"/>
                <w:color w:val="auto"/>
                <w:lang w:val="en-US"/>
              </w:rPr>
              <w:t>MoE</w:t>
            </w:r>
            <w:proofErr w:type="spellEnd"/>
            <w:r w:rsidRPr="008816C8">
              <w:rPr>
                <w:b w:val="0"/>
                <w:color w:val="auto"/>
                <w:lang w:val="en-US"/>
              </w:rPr>
              <w:t xml:space="preserve"> SR</w:t>
            </w:r>
          </w:p>
        </w:tc>
        <w:tc>
          <w:tcPr>
            <w:tcW w:w="2551" w:type="dxa"/>
          </w:tcPr>
          <w:p w14:paraId="0B0D2474" w14:textId="77777777" w:rsidR="009200F7" w:rsidRPr="008816C8" w:rsidRDefault="009200F7" w:rsidP="0039785F">
            <w:pPr>
              <w:pStyle w:val="BodyText2"/>
              <w:rPr>
                <w:b w:val="0"/>
                <w:color w:val="FF0000"/>
                <w:lang w:val="en-US"/>
              </w:rPr>
            </w:pPr>
          </w:p>
        </w:tc>
      </w:tr>
      <w:tr w:rsidR="009200F7" w:rsidRPr="008816C8" w14:paraId="4D8FBD19" w14:textId="77777777" w:rsidTr="0039785F">
        <w:tblPrEx>
          <w:tblCellMar>
            <w:top w:w="0" w:type="dxa"/>
            <w:bottom w:w="0" w:type="dxa"/>
          </w:tblCellMar>
        </w:tblPrEx>
        <w:tc>
          <w:tcPr>
            <w:tcW w:w="590" w:type="dxa"/>
          </w:tcPr>
          <w:p w14:paraId="275AB7FD" w14:textId="77777777" w:rsidR="009200F7" w:rsidRPr="008816C8" w:rsidRDefault="009200F7" w:rsidP="0039785F">
            <w:pPr>
              <w:pStyle w:val="BodyText2"/>
              <w:rPr>
                <w:color w:val="auto"/>
                <w:lang w:val="en-US"/>
              </w:rPr>
            </w:pPr>
            <w:r w:rsidRPr="008816C8">
              <w:rPr>
                <w:color w:val="auto"/>
                <w:lang w:val="en-US"/>
              </w:rPr>
              <w:t>07</w:t>
            </w:r>
          </w:p>
        </w:tc>
        <w:tc>
          <w:tcPr>
            <w:tcW w:w="3629" w:type="dxa"/>
          </w:tcPr>
          <w:p w14:paraId="5E512CC4" w14:textId="77777777" w:rsidR="009200F7" w:rsidRPr="008816C8" w:rsidRDefault="009200F7" w:rsidP="0039785F">
            <w:pPr>
              <w:pStyle w:val="BodyText2"/>
              <w:rPr>
                <w:b w:val="0"/>
                <w:color w:val="auto"/>
                <w:lang w:val="en-US"/>
              </w:rPr>
            </w:pPr>
            <w:r w:rsidRPr="008816C8">
              <w:rPr>
                <w:b w:val="0"/>
                <w:color w:val="auto"/>
                <w:lang w:val="en-US"/>
              </w:rPr>
              <w:t xml:space="preserve">Identification of the spatial datasets and priority setting </w:t>
            </w:r>
          </w:p>
          <w:p w14:paraId="6B2F3C75" w14:textId="77777777" w:rsidR="009200F7" w:rsidRPr="008816C8" w:rsidRDefault="009200F7" w:rsidP="0039785F">
            <w:pPr>
              <w:pStyle w:val="BodyText2"/>
              <w:rPr>
                <w:b w:val="0"/>
                <w:color w:val="auto"/>
                <w:lang w:val="en-US"/>
              </w:rPr>
            </w:pPr>
            <w:r w:rsidRPr="008816C8">
              <w:rPr>
                <w:b w:val="0"/>
                <w:color w:val="auto"/>
                <w:lang w:val="en-US"/>
              </w:rPr>
              <w:t>(Identified priority spatial datasets)</w:t>
            </w:r>
          </w:p>
        </w:tc>
        <w:tc>
          <w:tcPr>
            <w:tcW w:w="1559" w:type="dxa"/>
          </w:tcPr>
          <w:p w14:paraId="0E2F4BDE" w14:textId="77777777" w:rsidR="009200F7" w:rsidRPr="008816C8" w:rsidRDefault="009200F7" w:rsidP="0039785F">
            <w:pPr>
              <w:pStyle w:val="BodyText2"/>
              <w:rPr>
                <w:color w:val="auto"/>
                <w:lang w:val="en-US"/>
              </w:rPr>
            </w:pPr>
            <w:r w:rsidRPr="008816C8">
              <w:rPr>
                <w:color w:val="auto"/>
                <w:lang w:val="en-US"/>
              </w:rPr>
              <w:t>03/2016</w:t>
            </w:r>
          </w:p>
        </w:tc>
        <w:tc>
          <w:tcPr>
            <w:tcW w:w="1560" w:type="dxa"/>
          </w:tcPr>
          <w:p w14:paraId="477E44C3" w14:textId="77777777" w:rsidR="009200F7" w:rsidRPr="008816C8" w:rsidRDefault="009200F7" w:rsidP="0039785F">
            <w:pPr>
              <w:pStyle w:val="BodyText2"/>
              <w:rPr>
                <w:color w:val="FF0000"/>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5220C0C2" w14:textId="77777777" w:rsidR="009200F7" w:rsidRPr="008816C8" w:rsidRDefault="00B85985" w:rsidP="00C36179">
            <w:pPr>
              <w:pStyle w:val="BodyText2"/>
              <w:rPr>
                <w:color w:val="FF0000"/>
                <w:lang w:val="en-US"/>
              </w:rPr>
            </w:pPr>
            <w:r w:rsidRPr="008816C8">
              <w:rPr>
                <w:b w:val="0"/>
                <w:color w:val="auto"/>
                <w:lang w:val="en-US"/>
              </w:rPr>
              <w:t>Prioritization</w:t>
            </w:r>
            <w:r w:rsidR="009200F7" w:rsidRPr="008816C8">
              <w:rPr>
                <w:b w:val="0"/>
                <w:color w:val="auto"/>
                <w:lang w:val="en-US"/>
              </w:rPr>
              <w:t xml:space="preserve"> based on </w:t>
            </w:r>
            <w:r w:rsidRPr="008816C8">
              <w:rPr>
                <w:b w:val="0"/>
                <w:color w:val="auto"/>
                <w:lang w:val="en-US"/>
              </w:rPr>
              <w:t>MIWP action "Priority list of data sets</w:t>
            </w:r>
            <w:r w:rsidR="00C36179" w:rsidRPr="008816C8">
              <w:rPr>
                <w:b w:val="0"/>
                <w:color w:val="auto"/>
                <w:lang w:val="en-US"/>
              </w:rPr>
              <w:t>"</w:t>
            </w:r>
            <w:r w:rsidRPr="008816C8">
              <w:rPr>
                <w:b w:val="0"/>
                <w:color w:val="auto"/>
                <w:lang w:val="en-US"/>
              </w:rPr>
              <w:t xml:space="preserve"> </w:t>
            </w:r>
            <w:r w:rsidR="009200F7" w:rsidRPr="008816C8">
              <w:rPr>
                <w:b w:val="0"/>
                <w:color w:val="auto"/>
                <w:lang w:val="en-US"/>
              </w:rPr>
              <w:t xml:space="preserve">and </w:t>
            </w:r>
            <w:r w:rsidR="009200F7" w:rsidRPr="008816C8">
              <w:rPr>
                <w:b w:val="0"/>
                <w:color w:val="auto"/>
                <w:lang w:val="en-US"/>
              </w:rPr>
              <w:lastRenderedPageBreak/>
              <w:t>INSPIRE legal requirements (Newly collected and extensively restructured Annex I spatial data sets)</w:t>
            </w:r>
          </w:p>
        </w:tc>
      </w:tr>
      <w:tr w:rsidR="009200F7" w:rsidRPr="008816C8" w14:paraId="5C1D9DD3" w14:textId="77777777" w:rsidTr="0039785F">
        <w:tblPrEx>
          <w:tblCellMar>
            <w:top w:w="0" w:type="dxa"/>
            <w:bottom w:w="0" w:type="dxa"/>
          </w:tblCellMar>
        </w:tblPrEx>
        <w:tc>
          <w:tcPr>
            <w:tcW w:w="590" w:type="dxa"/>
          </w:tcPr>
          <w:p w14:paraId="1E565422" w14:textId="77777777" w:rsidR="009200F7" w:rsidRPr="008816C8" w:rsidRDefault="009200F7" w:rsidP="0039785F">
            <w:pPr>
              <w:pStyle w:val="BodyText2"/>
              <w:rPr>
                <w:color w:val="auto"/>
                <w:lang w:val="en-US"/>
              </w:rPr>
            </w:pPr>
            <w:r w:rsidRPr="008816C8">
              <w:rPr>
                <w:color w:val="auto"/>
                <w:lang w:val="en-US"/>
              </w:rPr>
              <w:lastRenderedPageBreak/>
              <w:t>08</w:t>
            </w:r>
          </w:p>
        </w:tc>
        <w:tc>
          <w:tcPr>
            <w:tcW w:w="3629" w:type="dxa"/>
          </w:tcPr>
          <w:p w14:paraId="70E64CFA" w14:textId="77777777" w:rsidR="009200F7" w:rsidRPr="008816C8" w:rsidRDefault="009200F7" w:rsidP="0039785F">
            <w:pPr>
              <w:pStyle w:val="BodyText2"/>
              <w:rPr>
                <w:b w:val="0"/>
                <w:color w:val="auto"/>
                <w:lang w:val="en-US"/>
              </w:rPr>
            </w:pPr>
            <w:r w:rsidRPr="008816C8">
              <w:rPr>
                <w:b w:val="0"/>
                <w:color w:val="auto"/>
                <w:lang w:val="en-US"/>
              </w:rPr>
              <w:t xml:space="preserve">Provision of </w:t>
            </w:r>
            <w:r w:rsidR="00C36179" w:rsidRPr="008816C8">
              <w:rPr>
                <w:b w:val="0"/>
                <w:color w:val="auto"/>
                <w:lang w:val="en-US"/>
              </w:rPr>
              <w:t xml:space="preserve">initial </w:t>
            </w:r>
            <w:r w:rsidRPr="008816C8">
              <w:rPr>
                <w:b w:val="0"/>
                <w:color w:val="auto"/>
                <w:lang w:val="en-US"/>
              </w:rPr>
              <w:t xml:space="preserve">priority spatial datasets </w:t>
            </w:r>
          </w:p>
          <w:p w14:paraId="4E240E9A" w14:textId="77777777" w:rsidR="009200F7" w:rsidRPr="008816C8" w:rsidRDefault="009200F7" w:rsidP="0039785F">
            <w:pPr>
              <w:pStyle w:val="BodyText2"/>
              <w:rPr>
                <w:b w:val="0"/>
                <w:color w:val="auto"/>
                <w:lang w:val="en-US"/>
              </w:rPr>
            </w:pPr>
            <w:r w:rsidRPr="008816C8">
              <w:rPr>
                <w:b w:val="0"/>
                <w:color w:val="auto"/>
                <w:lang w:val="en-US"/>
              </w:rPr>
              <w:t>(Collected priority spatial datasets)</w:t>
            </w:r>
          </w:p>
        </w:tc>
        <w:tc>
          <w:tcPr>
            <w:tcW w:w="1559" w:type="dxa"/>
          </w:tcPr>
          <w:p w14:paraId="5851067B" w14:textId="77777777" w:rsidR="009200F7" w:rsidRPr="008816C8" w:rsidRDefault="009200F7" w:rsidP="0039785F">
            <w:pPr>
              <w:pStyle w:val="BodyText2"/>
              <w:rPr>
                <w:color w:val="auto"/>
                <w:lang w:val="en-US"/>
              </w:rPr>
            </w:pPr>
            <w:r w:rsidRPr="008816C8">
              <w:rPr>
                <w:color w:val="auto"/>
                <w:lang w:val="en-US"/>
              </w:rPr>
              <w:t>04/2016</w:t>
            </w:r>
          </w:p>
        </w:tc>
        <w:tc>
          <w:tcPr>
            <w:tcW w:w="1560" w:type="dxa"/>
          </w:tcPr>
          <w:p w14:paraId="37728309" w14:textId="77777777" w:rsidR="009200F7" w:rsidRPr="008816C8" w:rsidRDefault="009200F7" w:rsidP="0039785F">
            <w:pPr>
              <w:pStyle w:val="BodyText2"/>
              <w:rPr>
                <w:color w:val="FF0000"/>
                <w:lang w:val="en-US"/>
              </w:rPr>
            </w:pPr>
            <w:r w:rsidRPr="008816C8">
              <w:rPr>
                <w:b w:val="0"/>
                <w:color w:val="auto"/>
                <w:lang w:val="en-US"/>
              </w:rPr>
              <w:t>KR NIPI members</w:t>
            </w:r>
          </w:p>
        </w:tc>
        <w:tc>
          <w:tcPr>
            <w:tcW w:w="2551" w:type="dxa"/>
          </w:tcPr>
          <w:p w14:paraId="3F19CEC1" w14:textId="77777777" w:rsidR="009200F7" w:rsidRPr="008816C8" w:rsidRDefault="009200F7" w:rsidP="0039785F">
            <w:pPr>
              <w:pStyle w:val="BodyText2"/>
              <w:rPr>
                <w:color w:val="FF0000"/>
                <w:lang w:val="en-US"/>
              </w:rPr>
            </w:pPr>
            <w:r w:rsidRPr="008816C8">
              <w:rPr>
                <w:b w:val="0"/>
                <w:color w:val="auto"/>
                <w:lang w:val="en-US"/>
              </w:rPr>
              <w:t>Harmonized spatial datasets - in case of newly collected and extensively restructured Annex I spatial data sets. For remaining cases datasets can remain in the structure as they are collected and maintained.</w:t>
            </w:r>
          </w:p>
        </w:tc>
      </w:tr>
      <w:tr w:rsidR="00C36179" w:rsidRPr="008816C8" w14:paraId="0DF2AFA4" w14:textId="77777777" w:rsidTr="0039785F">
        <w:tblPrEx>
          <w:tblCellMar>
            <w:top w:w="0" w:type="dxa"/>
            <w:bottom w:w="0" w:type="dxa"/>
          </w:tblCellMar>
        </w:tblPrEx>
        <w:tc>
          <w:tcPr>
            <w:tcW w:w="590" w:type="dxa"/>
          </w:tcPr>
          <w:p w14:paraId="773C8E14" w14:textId="77777777" w:rsidR="00C36179" w:rsidRPr="008816C8" w:rsidRDefault="00C36179" w:rsidP="0039785F">
            <w:pPr>
              <w:pStyle w:val="BodyText2"/>
              <w:rPr>
                <w:color w:val="auto"/>
                <w:lang w:val="en-US"/>
              </w:rPr>
            </w:pPr>
            <w:r w:rsidRPr="008816C8">
              <w:rPr>
                <w:color w:val="auto"/>
                <w:lang w:val="en-US"/>
              </w:rPr>
              <w:t>09</w:t>
            </w:r>
          </w:p>
        </w:tc>
        <w:tc>
          <w:tcPr>
            <w:tcW w:w="3629" w:type="dxa"/>
          </w:tcPr>
          <w:p w14:paraId="69237AB7" w14:textId="77777777" w:rsidR="00C36179" w:rsidRPr="008816C8" w:rsidRDefault="00C36179" w:rsidP="00C36179">
            <w:pPr>
              <w:pStyle w:val="BodyText2"/>
              <w:rPr>
                <w:b w:val="0"/>
                <w:color w:val="auto"/>
                <w:lang w:val="en-US"/>
              </w:rPr>
            </w:pPr>
            <w:r w:rsidRPr="008816C8">
              <w:rPr>
                <w:b w:val="0"/>
                <w:color w:val="auto"/>
                <w:lang w:val="en-US"/>
              </w:rPr>
              <w:t xml:space="preserve">Provision of all priority spatial datasets </w:t>
            </w:r>
          </w:p>
          <w:p w14:paraId="1127BC97" w14:textId="77777777" w:rsidR="00C36179" w:rsidRPr="008816C8" w:rsidRDefault="00C36179" w:rsidP="00C36179">
            <w:pPr>
              <w:pStyle w:val="BodyText2"/>
              <w:rPr>
                <w:b w:val="0"/>
                <w:color w:val="auto"/>
                <w:lang w:val="en-US"/>
              </w:rPr>
            </w:pPr>
            <w:r w:rsidRPr="008816C8">
              <w:rPr>
                <w:b w:val="0"/>
                <w:color w:val="auto"/>
                <w:lang w:val="en-US"/>
              </w:rPr>
              <w:t>(Collected priority spatial datasets)</w:t>
            </w:r>
          </w:p>
        </w:tc>
        <w:tc>
          <w:tcPr>
            <w:tcW w:w="1559" w:type="dxa"/>
          </w:tcPr>
          <w:p w14:paraId="3C7A94DE" w14:textId="77777777" w:rsidR="00C36179" w:rsidRPr="008816C8" w:rsidRDefault="00C36179" w:rsidP="0039785F">
            <w:pPr>
              <w:pStyle w:val="BodyText2"/>
              <w:rPr>
                <w:color w:val="auto"/>
                <w:lang w:val="en-US"/>
              </w:rPr>
            </w:pPr>
          </w:p>
          <w:p w14:paraId="45ADE256" w14:textId="77777777" w:rsidR="00C36179" w:rsidRPr="008816C8" w:rsidRDefault="00C36179" w:rsidP="0039785F">
            <w:pPr>
              <w:pStyle w:val="BodyText2"/>
              <w:rPr>
                <w:color w:val="auto"/>
                <w:lang w:val="en-US"/>
              </w:rPr>
            </w:pPr>
            <w:r w:rsidRPr="008816C8">
              <w:rPr>
                <w:color w:val="auto"/>
                <w:lang w:val="en-US"/>
              </w:rPr>
              <w:t>TBD*</w:t>
            </w:r>
          </w:p>
        </w:tc>
        <w:tc>
          <w:tcPr>
            <w:tcW w:w="1560" w:type="dxa"/>
          </w:tcPr>
          <w:p w14:paraId="3AD0E757" w14:textId="77777777" w:rsidR="00C36179" w:rsidRPr="008816C8" w:rsidRDefault="00C36179" w:rsidP="0039785F">
            <w:pPr>
              <w:pStyle w:val="BodyText2"/>
              <w:rPr>
                <w:b w:val="0"/>
                <w:color w:val="auto"/>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7B47D63C" w14:textId="77777777" w:rsidR="00C36179" w:rsidRPr="008816C8" w:rsidRDefault="00C36179" w:rsidP="00A339C3">
            <w:pPr>
              <w:pStyle w:val="BodyText2"/>
              <w:rPr>
                <w:b w:val="0"/>
                <w:color w:val="auto"/>
                <w:lang w:val="en-US"/>
              </w:rPr>
            </w:pPr>
            <w:r w:rsidRPr="008816C8">
              <w:rPr>
                <w:b w:val="0"/>
                <w:color w:val="auto"/>
                <w:lang w:val="en-US"/>
              </w:rPr>
              <w:t xml:space="preserve">* </w:t>
            </w:r>
            <w:r w:rsidR="00A339C3" w:rsidRPr="008816C8">
              <w:rPr>
                <w:b w:val="0"/>
                <w:color w:val="auto"/>
                <w:lang w:val="en-US"/>
              </w:rPr>
              <w:t>As soon as possible in line with</w:t>
            </w:r>
            <w:r w:rsidRPr="008816C8">
              <w:rPr>
                <w:b w:val="0"/>
                <w:color w:val="auto"/>
                <w:lang w:val="en-US"/>
              </w:rPr>
              <w:t xml:space="preserve"> the outcomes of MIWP action "Priority list of data sets"</w:t>
            </w:r>
            <w:r w:rsidR="00E970E3" w:rsidRPr="008816C8">
              <w:rPr>
                <w:rStyle w:val="FootnoteReference"/>
                <w:b w:val="0"/>
                <w:color w:val="auto"/>
                <w:lang w:val="en-US"/>
              </w:rPr>
              <w:footnoteReference w:id="5"/>
            </w:r>
          </w:p>
        </w:tc>
      </w:tr>
      <w:tr w:rsidR="009200F7" w:rsidRPr="008816C8" w14:paraId="2ED8A785" w14:textId="77777777" w:rsidTr="0039785F">
        <w:tblPrEx>
          <w:tblCellMar>
            <w:top w:w="0" w:type="dxa"/>
            <w:bottom w:w="0" w:type="dxa"/>
          </w:tblCellMar>
        </w:tblPrEx>
        <w:tc>
          <w:tcPr>
            <w:tcW w:w="590" w:type="dxa"/>
          </w:tcPr>
          <w:p w14:paraId="3248D329" w14:textId="77777777" w:rsidR="009200F7" w:rsidRPr="008816C8" w:rsidRDefault="00C36179" w:rsidP="0039785F">
            <w:pPr>
              <w:pStyle w:val="BodyText2"/>
              <w:rPr>
                <w:color w:val="auto"/>
                <w:lang w:val="en-US"/>
              </w:rPr>
            </w:pPr>
            <w:r w:rsidRPr="008816C8">
              <w:rPr>
                <w:color w:val="auto"/>
                <w:lang w:val="en-US"/>
              </w:rPr>
              <w:t>10</w:t>
            </w:r>
          </w:p>
        </w:tc>
        <w:tc>
          <w:tcPr>
            <w:tcW w:w="3629" w:type="dxa"/>
          </w:tcPr>
          <w:p w14:paraId="2ED9A8A8" w14:textId="77777777" w:rsidR="009200F7" w:rsidRPr="008816C8" w:rsidRDefault="009200F7" w:rsidP="0039785F">
            <w:pPr>
              <w:pStyle w:val="BodyText2"/>
              <w:rPr>
                <w:b w:val="0"/>
                <w:color w:val="auto"/>
                <w:lang w:val="en-US"/>
              </w:rPr>
            </w:pPr>
            <w:r w:rsidRPr="008816C8">
              <w:rPr>
                <w:b w:val="0"/>
                <w:color w:val="auto"/>
                <w:lang w:val="en-US"/>
              </w:rPr>
              <w:t xml:space="preserve">Provision of other </w:t>
            </w:r>
            <w:r w:rsidR="00851C18" w:rsidRPr="008816C8">
              <w:rPr>
                <w:b w:val="0"/>
                <w:color w:val="auto"/>
                <w:lang w:val="en-US"/>
              </w:rPr>
              <w:t xml:space="preserve">as-is </w:t>
            </w:r>
            <w:r w:rsidRPr="008816C8">
              <w:rPr>
                <w:b w:val="0"/>
                <w:color w:val="auto"/>
                <w:lang w:val="en-US"/>
              </w:rPr>
              <w:t xml:space="preserve">spatial datasets </w:t>
            </w:r>
          </w:p>
          <w:p w14:paraId="6F2809EC" w14:textId="77777777" w:rsidR="009200F7" w:rsidRPr="008816C8" w:rsidRDefault="009200F7" w:rsidP="0039785F">
            <w:pPr>
              <w:pStyle w:val="BodyText2"/>
              <w:rPr>
                <w:b w:val="0"/>
                <w:color w:val="auto"/>
                <w:lang w:val="en-US"/>
              </w:rPr>
            </w:pPr>
            <w:r w:rsidRPr="008816C8">
              <w:rPr>
                <w:b w:val="0"/>
                <w:color w:val="auto"/>
                <w:lang w:val="en-US"/>
              </w:rPr>
              <w:t xml:space="preserve">(Collected other </w:t>
            </w:r>
            <w:r w:rsidR="008B77F8" w:rsidRPr="008816C8">
              <w:rPr>
                <w:b w:val="0"/>
                <w:color w:val="auto"/>
                <w:lang w:val="en-US"/>
              </w:rPr>
              <w:t xml:space="preserve">as-is </w:t>
            </w:r>
            <w:r w:rsidRPr="008816C8">
              <w:rPr>
                <w:b w:val="0"/>
                <w:color w:val="auto"/>
                <w:lang w:val="en-US"/>
              </w:rPr>
              <w:t>spatial datasets)</w:t>
            </w:r>
          </w:p>
          <w:p w14:paraId="6E119B37" w14:textId="77777777" w:rsidR="009200F7" w:rsidRPr="008816C8" w:rsidRDefault="009200F7" w:rsidP="0039785F">
            <w:pPr>
              <w:pStyle w:val="BodyText2"/>
              <w:rPr>
                <w:b w:val="0"/>
                <w:color w:val="auto"/>
                <w:lang w:val="en-US"/>
              </w:rPr>
            </w:pPr>
          </w:p>
        </w:tc>
        <w:tc>
          <w:tcPr>
            <w:tcW w:w="1559" w:type="dxa"/>
          </w:tcPr>
          <w:p w14:paraId="347C902E" w14:textId="77777777" w:rsidR="009200F7" w:rsidRPr="008816C8" w:rsidRDefault="009200F7" w:rsidP="0039785F">
            <w:pPr>
              <w:pStyle w:val="BodyText2"/>
              <w:rPr>
                <w:color w:val="auto"/>
                <w:lang w:val="en-US"/>
              </w:rPr>
            </w:pPr>
            <w:r w:rsidRPr="008816C8">
              <w:rPr>
                <w:color w:val="auto"/>
                <w:lang w:val="en-US"/>
              </w:rPr>
              <w:t>12/2016</w:t>
            </w:r>
          </w:p>
        </w:tc>
        <w:tc>
          <w:tcPr>
            <w:tcW w:w="1560" w:type="dxa"/>
          </w:tcPr>
          <w:p w14:paraId="29B410A6" w14:textId="77777777" w:rsidR="009200F7" w:rsidRPr="008816C8" w:rsidRDefault="009200F7" w:rsidP="0039785F">
            <w:pPr>
              <w:pStyle w:val="BodyText2"/>
              <w:rPr>
                <w:b w:val="0"/>
                <w:color w:val="auto"/>
                <w:lang w:val="en-US"/>
              </w:rPr>
            </w:pPr>
            <w:r w:rsidRPr="008816C8">
              <w:rPr>
                <w:b w:val="0"/>
                <w:color w:val="auto"/>
                <w:lang w:val="en-US"/>
              </w:rPr>
              <w:t>KR NIPI members</w:t>
            </w:r>
          </w:p>
        </w:tc>
        <w:tc>
          <w:tcPr>
            <w:tcW w:w="2551" w:type="dxa"/>
          </w:tcPr>
          <w:p w14:paraId="7BEF8545" w14:textId="77777777" w:rsidR="009200F7" w:rsidRPr="008816C8" w:rsidRDefault="00851C18" w:rsidP="0039785F">
            <w:pPr>
              <w:pStyle w:val="BodyText2"/>
              <w:rPr>
                <w:color w:val="FF0000"/>
                <w:lang w:val="en-US"/>
              </w:rPr>
            </w:pPr>
            <w:r w:rsidRPr="008816C8">
              <w:rPr>
                <w:b w:val="0"/>
                <w:color w:val="auto"/>
                <w:lang w:val="en-US"/>
              </w:rPr>
              <w:t>Provision of the datasets falling within the scope of INSPIRE in current as-is structure</w:t>
            </w:r>
          </w:p>
        </w:tc>
      </w:tr>
      <w:tr w:rsidR="00C36179" w:rsidRPr="008816C8" w14:paraId="499E24EF" w14:textId="77777777" w:rsidTr="0039785F">
        <w:tblPrEx>
          <w:tblCellMar>
            <w:top w:w="0" w:type="dxa"/>
            <w:bottom w:w="0" w:type="dxa"/>
          </w:tblCellMar>
        </w:tblPrEx>
        <w:tc>
          <w:tcPr>
            <w:tcW w:w="590" w:type="dxa"/>
          </w:tcPr>
          <w:p w14:paraId="489F721B" w14:textId="77777777" w:rsidR="00C36179" w:rsidRPr="008816C8" w:rsidRDefault="00C36179" w:rsidP="0039785F">
            <w:pPr>
              <w:pStyle w:val="BodyText2"/>
              <w:rPr>
                <w:color w:val="auto"/>
                <w:lang w:val="en-US"/>
              </w:rPr>
            </w:pPr>
            <w:r w:rsidRPr="008816C8">
              <w:rPr>
                <w:color w:val="auto"/>
                <w:lang w:val="en-US"/>
              </w:rPr>
              <w:t>11</w:t>
            </w:r>
          </w:p>
        </w:tc>
        <w:tc>
          <w:tcPr>
            <w:tcW w:w="3629" w:type="dxa"/>
          </w:tcPr>
          <w:p w14:paraId="27E95904" w14:textId="77777777" w:rsidR="00CF749E" w:rsidRPr="008816C8" w:rsidRDefault="00C36179" w:rsidP="00C36179">
            <w:pPr>
              <w:pStyle w:val="BodyText2"/>
              <w:rPr>
                <w:b w:val="0"/>
                <w:color w:val="auto"/>
                <w:lang w:val="en-US"/>
              </w:rPr>
            </w:pPr>
            <w:r w:rsidRPr="008816C8">
              <w:rPr>
                <w:b w:val="0"/>
                <w:color w:val="auto"/>
                <w:lang w:val="en-US"/>
              </w:rPr>
              <w:t xml:space="preserve">Provision of </w:t>
            </w:r>
            <w:r w:rsidR="00111C8D" w:rsidRPr="008816C8">
              <w:rPr>
                <w:b w:val="0"/>
                <w:color w:val="auto"/>
                <w:lang w:val="en-US"/>
              </w:rPr>
              <w:t>all Annex I datasets</w:t>
            </w:r>
          </w:p>
          <w:p w14:paraId="3E08B4D0" w14:textId="77777777" w:rsidR="00C36179" w:rsidRPr="008816C8" w:rsidRDefault="00CF749E" w:rsidP="00C36179">
            <w:pPr>
              <w:pStyle w:val="BodyText2"/>
              <w:rPr>
                <w:b w:val="0"/>
                <w:color w:val="auto"/>
                <w:lang w:val="en-US"/>
              </w:rPr>
            </w:pPr>
            <w:r w:rsidRPr="008816C8">
              <w:rPr>
                <w:b w:val="0"/>
                <w:color w:val="auto"/>
                <w:lang w:val="en-US"/>
              </w:rPr>
              <w:t>(All harmonized available spatial datasets from Annex I)</w:t>
            </w:r>
            <w:r w:rsidR="00C36179" w:rsidRPr="008816C8">
              <w:rPr>
                <w:b w:val="0"/>
                <w:color w:val="auto"/>
                <w:lang w:val="en-US"/>
              </w:rPr>
              <w:t xml:space="preserve"> </w:t>
            </w:r>
          </w:p>
        </w:tc>
        <w:tc>
          <w:tcPr>
            <w:tcW w:w="1559" w:type="dxa"/>
          </w:tcPr>
          <w:p w14:paraId="6F0D588A" w14:textId="77777777" w:rsidR="00C36179" w:rsidRPr="008816C8" w:rsidRDefault="00C36179" w:rsidP="0039785F">
            <w:pPr>
              <w:pStyle w:val="BodyText2"/>
              <w:rPr>
                <w:color w:val="auto"/>
                <w:lang w:val="en-US"/>
              </w:rPr>
            </w:pPr>
            <w:r w:rsidRPr="008816C8">
              <w:rPr>
                <w:color w:val="auto"/>
                <w:lang w:val="en-US"/>
              </w:rPr>
              <w:t>2017</w:t>
            </w:r>
          </w:p>
        </w:tc>
        <w:tc>
          <w:tcPr>
            <w:tcW w:w="1560" w:type="dxa"/>
          </w:tcPr>
          <w:p w14:paraId="6E0AA330" w14:textId="77777777" w:rsidR="00C36179" w:rsidRPr="008816C8" w:rsidRDefault="00111C8D" w:rsidP="0039785F">
            <w:pPr>
              <w:pStyle w:val="BodyText2"/>
              <w:rPr>
                <w:b w:val="0"/>
                <w:color w:val="auto"/>
                <w:lang w:val="en-US"/>
              </w:rPr>
            </w:pPr>
            <w:r w:rsidRPr="008816C8">
              <w:rPr>
                <w:b w:val="0"/>
                <w:color w:val="auto"/>
                <w:lang w:val="en-US"/>
              </w:rPr>
              <w:t>KR NIPI members</w:t>
            </w:r>
          </w:p>
        </w:tc>
        <w:tc>
          <w:tcPr>
            <w:tcW w:w="2551" w:type="dxa"/>
          </w:tcPr>
          <w:p w14:paraId="2923486C" w14:textId="77777777" w:rsidR="00C36179" w:rsidRPr="008816C8" w:rsidRDefault="00C36179" w:rsidP="00111C8D">
            <w:pPr>
              <w:pStyle w:val="BodyText2"/>
              <w:rPr>
                <w:b w:val="0"/>
                <w:color w:val="auto"/>
                <w:lang w:val="en-US"/>
              </w:rPr>
            </w:pPr>
          </w:p>
        </w:tc>
      </w:tr>
      <w:tr w:rsidR="00111C8D" w:rsidRPr="008816C8" w14:paraId="49A3A36C" w14:textId="77777777" w:rsidTr="0039785F">
        <w:tblPrEx>
          <w:tblCellMar>
            <w:top w:w="0" w:type="dxa"/>
            <w:bottom w:w="0" w:type="dxa"/>
          </w:tblCellMar>
        </w:tblPrEx>
        <w:tc>
          <w:tcPr>
            <w:tcW w:w="590" w:type="dxa"/>
          </w:tcPr>
          <w:p w14:paraId="52FBCC86" w14:textId="77777777" w:rsidR="00111C8D" w:rsidRPr="008816C8" w:rsidRDefault="00111C8D" w:rsidP="0039785F">
            <w:pPr>
              <w:pStyle w:val="BodyText2"/>
              <w:rPr>
                <w:color w:val="auto"/>
                <w:lang w:val="en-US"/>
              </w:rPr>
            </w:pPr>
            <w:r w:rsidRPr="008816C8">
              <w:rPr>
                <w:color w:val="auto"/>
                <w:lang w:val="en-US"/>
              </w:rPr>
              <w:t>12</w:t>
            </w:r>
          </w:p>
        </w:tc>
        <w:tc>
          <w:tcPr>
            <w:tcW w:w="3629" w:type="dxa"/>
          </w:tcPr>
          <w:p w14:paraId="20E21982" w14:textId="77777777" w:rsidR="00111C8D" w:rsidRPr="008816C8" w:rsidRDefault="00A339C3" w:rsidP="00111C8D">
            <w:pPr>
              <w:pStyle w:val="BodyText2"/>
              <w:rPr>
                <w:b w:val="0"/>
                <w:color w:val="auto"/>
                <w:lang w:val="en-US"/>
              </w:rPr>
            </w:pPr>
            <w:r w:rsidRPr="008816C8">
              <w:rPr>
                <w:b w:val="0"/>
                <w:color w:val="auto"/>
                <w:lang w:val="en-US"/>
              </w:rPr>
              <w:t>P</w:t>
            </w:r>
            <w:r w:rsidR="00111C8D" w:rsidRPr="008816C8">
              <w:rPr>
                <w:b w:val="0"/>
                <w:color w:val="auto"/>
                <w:lang w:val="en-US"/>
              </w:rPr>
              <w:t>rovision of all newly collected and extensively restructured Annex II and III spatial data sets</w:t>
            </w:r>
          </w:p>
          <w:p w14:paraId="1CF94820" w14:textId="77777777" w:rsidR="00CF749E" w:rsidRPr="008816C8" w:rsidRDefault="00CF749E" w:rsidP="00111C8D">
            <w:pPr>
              <w:pStyle w:val="BodyText2"/>
              <w:rPr>
                <w:b w:val="0"/>
                <w:color w:val="auto"/>
                <w:lang w:val="en-US"/>
              </w:rPr>
            </w:pPr>
            <w:r w:rsidRPr="008816C8">
              <w:rPr>
                <w:b w:val="0"/>
                <w:color w:val="auto"/>
                <w:lang w:val="en-US"/>
              </w:rPr>
              <w:t>(All harmonized provision of all newly collected and extensively restructured Annex II and III spatial data sets)</w:t>
            </w:r>
          </w:p>
        </w:tc>
        <w:tc>
          <w:tcPr>
            <w:tcW w:w="1559" w:type="dxa"/>
          </w:tcPr>
          <w:p w14:paraId="2250BA6F" w14:textId="77777777" w:rsidR="00111C8D" w:rsidRPr="008816C8" w:rsidRDefault="00111C8D" w:rsidP="00111C8D">
            <w:pPr>
              <w:pStyle w:val="BodyText2"/>
              <w:rPr>
                <w:color w:val="auto"/>
                <w:lang w:val="en-US"/>
              </w:rPr>
            </w:pPr>
            <w:r w:rsidRPr="008816C8">
              <w:rPr>
                <w:color w:val="auto"/>
                <w:lang w:val="en-US"/>
              </w:rPr>
              <w:t>2018</w:t>
            </w:r>
          </w:p>
        </w:tc>
        <w:tc>
          <w:tcPr>
            <w:tcW w:w="1560" w:type="dxa"/>
          </w:tcPr>
          <w:p w14:paraId="0E0D00C1" w14:textId="77777777" w:rsidR="00111C8D" w:rsidRPr="008816C8" w:rsidRDefault="00111C8D" w:rsidP="0039785F">
            <w:pPr>
              <w:pStyle w:val="BodyText2"/>
              <w:rPr>
                <w:b w:val="0"/>
                <w:color w:val="auto"/>
                <w:lang w:val="en-US"/>
              </w:rPr>
            </w:pPr>
            <w:r w:rsidRPr="008816C8">
              <w:rPr>
                <w:b w:val="0"/>
                <w:color w:val="auto"/>
                <w:lang w:val="en-US"/>
              </w:rPr>
              <w:t>KR NIPI members</w:t>
            </w:r>
          </w:p>
        </w:tc>
        <w:tc>
          <w:tcPr>
            <w:tcW w:w="2551" w:type="dxa"/>
          </w:tcPr>
          <w:p w14:paraId="23E2AA15" w14:textId="77777777" w:rsidR="00111C8D" w:rsidRPr="008816C8" w:rsidRDefault="00111C8D" w:rsidP="00A339C3">
            <w:pPr>
              <w:pStyle w:val="BodyText2"/>
              <w:rPr>
                <w:b w:val="0"/>
                <w:color w:val="auto"/>
                <w:lang w:val="en-US"/>
              </w:rPr>
            </w:pPr>
          </w:p>
        </w:tc>
      </w:tr>
      <w:tr w:rsidR="00111C8D" w:rsidRPr="008816C8" w14:paraId="6CC2041B" w14:textId="77777777" w:rsidTr="0039785F">
        <w:tblPrEx>
          <w:tblCellMar>
            <w:top w:w="0" w:type="dxa"/>
            <w:bottom w:w="0" w:type="dxa"/>
          </w:tblCellMar>
        </w:tblPrEx>
        <w:tc>
          <w:tcPr>
            <w:tcW w:w="590" w:type="dxa"/>
          </w:tcPr>
          <w:p w14:paraId="25C13E21" w14:textId="77777777" w:rsidR="00111C8D" w:rsidRPr="008816C8" w:rsidRDefault="00111C8D" w:rsidP="0039785F">
            <w:pPr>
              <w:pStyle w:val="BodyText2"/>
              <w:rPr>
                <w:color w:val="auto"/>
                <w:lang w:val="en-US"/>
              </w:rPr>
            </w:pPr>
            <w:r w:rsidRPr="008816C8">
              <w:rPr>
                <w:color w:val="auto"/>
                <w:lang w:val="en-US"/>
              </w:rPr>
              <w:t>13</w:t>
            </w:r>
          </w:p>
        </w:tc>
        <w:tc>
          <w:tcPr>
            <w:tcW w:w="3629" w:type="dxa"/>
          </w:tcPr>
          <w:p w14:paraId="01792DF1" w14:textId="77777777" w:rsidR="00111C8D" w:rsidRPr="008816C8" w:rsidRDefault="00A339C3" w:rsidP="00111C8D">
            <w:pPr>
              <w:pStyle w:val="BodyText2"/>
              <w:rPr>
                <w:b w:val="0"/>
                <w:color w:val="auto"/>
                <w:lang w:val="en-US"/>
              </w:rPr>
            </w:pPr>
            <w:r w:rsidRPr="008816C8">
              <w:rPr>
                <w:b w:val="0"/>
                <w:color w:val="auto"/>
                <w:lang w:val="en-US"/>
              </w:rPr>
              <w:t>P</w:t>
            </w:r>
            <w:r w:rsidR="00111C8D" w:rsidRPr="008816C8">
              <w:rPr>
                <w:b w:val="0"/>
                <w:color w:val="auto"/>
                <w:lang w:val="en-US"/>
              </w:rPr>
              <w:t>rovision of all remaining Annex II and III spatial data sets</w:t>
            </w:r>
          </w:p>
          <w:p w14:paraId="20E421A3" w14:textId="77777777" w:rsidR="00CF749E" w:rsidRPr="008816C8" w:rsidRDefault="00CF749E" w:rsidP="00111C8D">
            <w:pPr>
              <w:pStyle w:val="BodyText2"/>
              <w:rPr>
                <w:b w:val="0"/>
                <w:color w:val="auto"/>
                <w:lang w:val="en-US"/>
              </w:rPr>
            </w:pPr>
            <w:r w:rsidRPr="008816C8">
              <w:rPr>
                <w:b w:val="0"/>
                <w:color w:val="auto"/>
                <w:lang w:val="en-US"/>
              </w:rPr>
              <w:t>(All harmonized available spatial datasets from Annex II+III)</w:t>
            </w:r>
          </w:p>
        </w:tc>
        <w:tc>
          <w:tcPr>
            <w:tcW w:w="1559" w:type="dxa"/>
          </w:tcPr>
          <w:p w14:paraId="6AEB2EB3" w14:textId="77777777" w:rsidR="00111C8D" w:rsidRPr="008816C8" w:rsidRDefault="00111C8D" w:rsidP="00111C8D">
            <w:pPr>
              <w:pStyle w:val="BodyText2"/>
              <w:rPr>
                <w:color w:val="auto"/>
                <w:lang w:val="en-US"/>
              </w:rPr>
            </w:pPr>
            <w:r w:rsidRPr="008816C8">
              <w:rPr>
                <w:color w:val="auto"/>
                <w:lang w:val="en-US"/>
              </w:rPr>
              <w:t>2020</w:t>
            </w:r>
          </w:p>
        </w:tc>
        <w:tc>
          <w:tcPr>
            <w:tcW w:w="1560" w:type="dxa"/>
          </w:tcPr>
          <w:p w14:paraId="5B6B6F1E" w14:textId="77777777" w:rsidR="00111C8D" w:rsidRPr="008816C8" w:rsidRDefault="00111C8D" w:rsidP="0039785F">
            <w:pPr>
              <w:pStyle w:val="BodyText2"/>
              <w:rPr>
                <w:b w:val="0"/>
                <w:color w:val="auto"/>
                <w:lang w:val="en-US"/>
              </w:rPr>
            </w:pPr>
            <w:r w:rsidRPr="008816C8">
              <w:rPr>
                <w:b w:val="0"/>
                <w:color w:val="auto"/>
                <w:lang w:val="en-US"/>
              </w:rPr>
              <w:t>KR NIPI members</w:t>
            </w:r>
          </w:p>
        </w:tc>
        <w:tc>
          <w:tcPr>
            <w:tcW w:w="2551" w:type="dxa"/>
          </w:tcPr>
          <w:p w14:paraId="4392AB4A" w14:textId="77777777" w:rsidR="00111C8D" w:rsidRPr="008816C8" w:rsidRDefault="00111C8D" w:rsidP="0039785F">
            <w:pPr>
              <w:pStyle w:val="BodyText2"/>
              <w:rPr>
                <w:b w:val="0"/>
                <w:color w:val="auto"/>
                <w:lang w:val="en-US"/>
              </w:rPr>
            </w:pPr>
          </w:p>
        </w:tc>
      </w:tr>
      <w:tr w:rsidR="009200F7" w:rsidRPr="008816C8" w14:paraId="0FBA60BE" w14:textId="77777777" w:rsidTr="0039785F">
        <w:tblPrEx>
          <w:tblCellMar>
            <w:top w:w="0" w:type="dxa"/>
            <w:bottom w:w="0" w:type="dxa"/>
          </w:tblCellMar>
        </w:tblPrEx>
        <w:tc>
          <w:tcPr>
            <w:tcW w:w="590" w:type="dxa"/>
          </w:tcPr>
          <w:p w14:paraId="6A2471EC" w14:textId="77777777" w:rsidR="009200F7" w:rsidRPr="008816C8" w:rsidRDefault="009200F7" w:rsidP="0039785F">
            <w:pPr>
              <w:pStyle w:val="BodyText2"/>
              <w:rPr>
                <w:color w:val="auto"/>
                <w:lang w:val="en-US"/>
              </w:rPr>
            </w:pPr>
          </w:p>
        </w:tc>
        <w:tc>
          <w:tcPr>
            <w:tcW w:w="3629" w:type="dxa"/>
          </w:tcPr>
          <w:p w14:paraId="13335D27" w14:textId="77777777" w:rsidR="009200F7" w:rsidRPr="008816C8" w:rsidRDefault="009200F7" w:rsidP="0039785F">
            <w:pPr>
              <w:pStyle w:val="BodyText2"/>
              <w:rPr>
                <w:color w:val="auto"/>
                <w:lang w:val="en-US"/>
              </w:rPr>
            </w:pPr>
            <w:r w:rsidRPr="008816C8">
              <w:rPr>
                <w:color w:val="auto"/>
                <w:lang w:val="en-US"/>
              </w:rPr>
              <w:t>Metadata</w:t>
            </w:r>
          </w:p>
        </w:tc>
        <w:tc>
          <w:tcPr>
            <w:tcW w:w="1559" w:type="dxa"/>
          </w:tcPr>
          <w:p w14:paraId="348962A8" w14:textId="77777777" w:rsidR="009200F7" w:rsidRPr="008816C8" w:rsidRDefault="009200F7" w:rsidP="0039785F">
            <w:pPr>
              <w:pStyle w:val="BodyText2"/>
              <w:rPr>
                <w:color w:val="auto"/>
                <w:lang w:val="en-US"/>
              </w:rPr>
            </w:pPr>
          </w:p>
        </w:tc>
        <w:tc>
          <w:tcPr>
            <w:tcW w:w="1560" w:type="dxa"/>
          </w:tcPr>
          <w:p w14:paraId="159A976F" w14:textId="77777777" w:rsidR="009200F7" w:rsidRPr="008816C8" w:rsidRDefault="009200F7" w:rsidP="0039785F">
            <w:pPr>
              <w:pStyle w:val="BodyText2"/>
              <w:rPr>
                <w:color w:val="FF0000"/>
                <w:lang w:val="en-US"/>
              </w:rPr>
            </w:pPr>
          </w:p>
        </w:tc>
        <w:tc>
          <w:tcPr>
            <w:tcW w:w="2551" w:type="dxa"/>
          </w:tcPr>
          <w:p w14:paraId="66B02CFA" w14:textId="77777777" w:rsidR="009200F7" w:rsidRPr="008816C8" w:rsidRDefault="009200F7" w:rsidP="0039785F">
            <w:pPr>
              <w:pStyle w:val="BodyText2"/>
              <w:rPr>
                <w:color w:val="FF0000"/>
                <w:lang w:val="en-US"/>
              </w:rPr>
            </w:pPr>
          </w:p>
        </w:tc>
      </w:tr>
      <w:tr w:rsidR="009200F7" w:rsidRPr="008816C8" w14:paraId="70204E58" w14:textId="77777777" w:rsidTr="0039785F">
        <w:tblPrEx>
          <w:tblCellMar>
            <w:top w:w="0" w:type="dxa"/>
            <w:bottom w:w="0" w:type="dxa"/>
          </w:tblCellMar>
        </w:tblPrEx>
        <w:tc>
          <w:tcPr>
            <w:tcW w:w="590" w:type="dxa"/>
          </w:tcPr>
          <w:p w14:paraId="7C1E1E67" w14:textId="77777777" w:rsidR="009200F7" w:rsidRPr="008816C8" w:rsidRDefault="009200F7" w:rsidP="00E970E3">
            <w:pPr>
              <w:pStyle w:val="BodyText2"/>
              <w:rPr>
                <w:color w:val="auto"/>
                <w:lang w:val="en-US"/>
              </w:rPr>
            </w:pPr>
            <w:r w:rsidRPr="008816C8">
              <w:rPr>
                <w:color w:val="auto"/>
                <w:lang w:val="en-US"/>
              </w:rPr>
              <w:t>1</w:t>
            </w:r>
            <w:r w:rsidR="00E970E3" w:rsidRPr="008816C8">
              <w:rPr>
                <w:color w:val="auto"/>
                <w:lang w:val="en-US"/>
              </w:rPr>
              <w:t>4</w:t>
            </w:r>
          </w:p>
        </w:tc>
        <w:tc>
          <w:tcPr>
            <w:tcW w:w="3629" w:type="dxa"/>
          </w:tcPr>
          <w:p w14:paraId="2A815D44" w14:textId="77777777" w:rsidR="009200F7" w:rsidRPr="008816C8" w:rsidRDefault="00E970E3" w:rsidP="0039785F">
            <w:pPr>
              <w:pStyle w:val="BodyText2"/>
              <w:rPr>
                <w:b w:val="0"/>
                <w:color w:val="auto"/>
                <w:lang w:val="en-US"/>
              </w:rPr>
            </w:pPr>
            <w:r w:rsidRPr="008816C8">
              <w:rPr>
                <w:b w:val="0"/>
                <w:color w:val="auto"/>
                <w:lang w:val="en-US"/>
              </w:rPr>
              <w:t>Documenting</w:t>
            </w:r>
            <w:r w:rsidR="009200F7" w:rsidRPr="008816C8">
              <w:rPr>
                <w:b w:val="0"/>
                <w:color w:val="auto"/>
                <w:lang w:val="en-US"/>
              </w:rPr>
              <w:t xml:space="preserve"> the priority spatial datasets and services </w:t>
            </w:r>
            <w:r w:rsidRPr="008816C8">
              <w:rPr>
                <w:b w:val="0"/>
                <w:color w:val="auto"/>
                <w:lang w:val="en-US"/>
              </w:rPr>
              <w:t xml:space="preserve">via </w:t>
            </w:r>
            <w:r w:rsidR="009200F7" w:rsidRPr="008816C8">
              <w:rPr>
                <w:b w:val="0"/>
                <w:color w:val="auto"/>
                <w:lang w:val="en-US"/>
              </w:rPr>
              <w:t xml:space="preserve">metadata (Metadata for the priority spatial </w:t>
            </w:r>
            <w:r w:rsidR="009200F7" w:rsidRPr="008816C8">
              <w:rPr>
                <w:b w:val="0"/>
                <w:color w:val="auto"/>
                <w:lang w:val="en-US"/>
              </w:rPr>
              <w:lastRenderedPageBreak/>
              <w:t>datasets and services)</w:t>
            </w:r>
          </w:p>
        </w:tc>
        <w:tc>
          <w:tcPr>
            <w:tcW w:w="1559" w:type="dxa"/>
          </w:tcPr>
          <w:p w14:paraId="3FE3B951" w14:textId="77777777" w:rsidR="009200F7" w:rsidRPr="008816C8" w:rsidRDefault="00A339C3" w:rsidP="0039785F">
            <w:pPr>
              <w:pStyle w:val="BodyText2"/>
              <w:rPr>
                <w:color w:val="auto"/>
                <w:lang w:val="en-US"/>
              </w:rPr>
            </w:pPr>
            <w:r w:rsidRPr="008816C8">
              <w:rPr>
                <w:color w:val="auto"/>
                <w:lang w:val="en-US"/>
              </w:rPr>
              <w:lastRenderedPageBreak/>
              <w:t>TBD*</w:t>
            </w:r>
          </w:p>
        </w:tc>
        <w:tc>
          <w:tcPr>
            <w:tcW w:w="1560" w:type="dxa"/>
          </w:tcPr>
          <w:p w14:paraId="1E493A6F" w14:textId="77777777" w:rsidR="009200F7" w:rsidRPr="008816C8" w:rsidRDefault="00A339C3" w:rsidP="0039785F">
            <w:pPr>
              <w:pStyle w:val="BodyText2"/>
              <w:rPr>
                <w:b w:val="0"/>
                <w:color w:val="auto"/>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7A537E46" w14:textId="77777777" w:rsidR="009200F7" w:rsidRPr="008816C8" w:rsidRDefault="00A339C3" w:rsidP="0039785F">
            <w:pPr>
              <w:pStyle w:val="BodyText2"/>
              <w:rPr>
                <w:b w:val="0"/>
                <w:color w:val="FF0000"/>
                <w:lang w:val="en-US"/>
              </w:rPr>
            </w:pPr>
            <w:r w:rsidRPr="008816C8">
              <w:rPr>
                <w:b w:val="0"/>
                <w:color w:val="auto"/>
                <w:lang w:val="en-US"/>
              </w:rPr>
              <w:t xml:space="preserve">* As soon as possible in line with the outcomes of MIWP action </w:t>
            </w:r>
            <w:r w:rsidRPr="008816C8">
              <w:rPr>
                <w:b w:val="0"/>
                <w:color w:val="auto"/>
                <w:lang w:val="en-US"/>
              </w:rPr>
              <w:lastRenderedPageBreak/>
              <w:t>"Priority list of data sets"</w:t>
            </w:r>
          </w:p>
        </w:tc>
      </w:tr>
      <w:tr w:rsidR="009200F7" w:rsidRPr="008816C8" w14:paraId="70C612FC" w14:textId="77777777" w:rsidTr="0039785F">
        <w:tblPrEx>
          <w:tblCellMar>
            <w:top w:w="0" w:type="dxa"/>
            <w:bottom w:w="0" w:type="dxa"/>
          </w:tblCellMar>
        </w:tblPrEx>
        <w:tc>
          <w:tcPr>
            <w:tcW w:w="590" w:type="dxa"/>
          </w:tcPr>
          <w:p w14:paraId="226A7D2F" w14:textId="77777777" w:rsidR="009200F7" w:rsidRPr="008816C8" w:rsidRDefault="009200F7" w:rsidP="00E970E3">
            <w:pPr>
              <w:pStyle w:val="BodyText2"/>
              <w:rPr>
                <w:color w:val="auto"/>
                <w:lang w:val="en-US"/>
              </w:rPr>
            </w:pPr>
            <w:r w:rsidRPr="008816C8">
              <w:rPr>
                <w:color w:val="auto"/>
                <w:lang w:val="en-US"/>
              </w:rPr>
              <w:lastRenderedPageBreak/>
              <w:t>1</w:t>
            </w:r>
            <w:r w:rsidR="00E970E3" w:rsidRPr="008816C8">
              <w:rPr>
                <w:color w:val="auto"/>
                <w:lang w:val="en-US"/>
              </w:rPr>
              <w:t>5</w:t>
            </w:r>
          </w:p>
        </w:tc>
        <w:tc>
          <w:tcPr>
            <w:tcW w:w="3629" w:type="dxa"/>
          </w:tcPr>
          <w:p w14:paraId="6A51273F" w14:textId="77777777" w:rsidR="009200F7" w:rsidRPr="008816C8" w:rsidRDefault="00E970E3" w:rsidP="0039785F">
            <w:pPr>
              <w:pStyle w:val="BodyText2"/>
              <w:rPr>
                <w:b w:val="0"/>
                <w:color w:val="auto"/>
                <w:lang w:val="en-US"/>
              </w:rPr>
            </w:pPr>
            <w:r w:rsidRPr="008816C8">
              <w:rPr>
                <w:b w:val="0"/>
                <w:color w:val="auto"/>
                <w:lang w:val="en-US"/>
              </w:rPr>
              <w:t>Documenting</w:t>
            </w:r>
            <w:r w:rsidR="009200F7" w:rsidRPr="008816C8">
              <w:rPr>
                <w:b w:val="0"/>
                <w:color w:val="auto"/>
                <w:lang w:val="en-US"/>
              </w:rPr>
              <w:t xml:space="preserve"> the other </w:t>
            </w:r>
            <w:r w:rsidR="00851C18" w:rsidRPr="008816C8">
              <w:rPr>
                <w:b w:val="0"/>
                <w:color w:val="auto"/>
                <w:lang w:val="en-US"/>
              </w:rPr>
              <w:t xml:space="preserve">as-is </w:t>
            </w:r>
            <w:r w:rsidR="009200F7" w:rsidRPr="008816C8">
              <w:rPr>
                <w:b w:val="0"/>
                <w:color w:val="auto"/>
                <w:lang w:val="en-US"/>
              </w:rPr>
              <w:t xml:space="preserve">spatial datasets and services </w:t>
            </w:r>
            <w:r w:rsidRPr="008816C8">
              <w:rPr>
                <w:b w:val="0"/>
                <w:color w:val="auto"/>
                <w:lang w:val="en-US"/>
              </w:rPr>
              <w:t>falling within the scope of</w:t>
            </w:r>
            <w:r w:rsidR="009200F7" w:rsidRPr="008816C8">
              <w:rPr>
                <w:b w:val="0"/>
                <w:color w:val="auto"/>
                <w:lang w:val="en-US"/>
              </w:rPr>
              <w:t xml:space="preserve"> the Annex I-III of the NSDI law n.3/2010 </w:t>
            </w:r>
            <w:r w:rsidRPr="008816C8">
              <w:rPr>
                <w:b w:val="0"/>
                <w:color w:val="auto"/>
                <w:lang w:val="en-US"/>
              </w:rPr>
              <w:t>by metadata</w:t>
            </w:r>
          </w:p>
          <w:p w14:paraId="465B9E69" w14:textId="77777777" w:rsidR="009200F7" w:rsidRPr="008816C8" w:rsidRDefault="009200F7" w:rsidP="00E970E3">
            <w:pPr>
              <w:pStyle w:val="BodyText2"/>
              <w:rPr>
                <w:b w:val="0"/>
                <w:color w:val="auto"/>
                <w:lang w:val="en-US"/>
              </w:rPr>
            </w:pPr>
            <w:r w:rsidRPr="008816C8">
              <w:rPr>
                <w:b w:val="0"/>
                <w:color w:val="auto"/>
                <w:lang w:val="en-US"/>
              </w:rPr>
              <w:t xml:space="preserve">(Metadata for the </w:t>
            </w:r>
            <w:r w:rsidR="00E970E3" w:rsidRPr="008816C8">
              <w:rPr>
                <w:b w:val="0"/>
                <w:color w:val="auto"/>
                <w:lang w:val="en-US"/>
              </w:rPr>
              <w:t>other</w:t>
            </w:r>
            <w:r w:rsidRPr="008816C8">
              <w:rPr>
                <w:b w:val="0"/>
                <w:color w:val="auto"/>
                <w:lang w:val="en-US"/>
              </w:rPr>
              <w:t xml:space="preserve"> spatial datasets and services from the Annex I-III of the NSDI law n.3/2010)</w:t>
            </w:r>
          </w:p>
        </w:tc>
        <w:tc>
          <w:tcPr>
            <w:tcW w:w="1559" w:type="dxa"/>
          </w:tcPr>
          <w:p w14:paraId="43D90C05" w14:textId="77777777" w:rsidR="009200F7" w:rsidRPr="008816C8" w:rsidRDefault="009200F7" w:rsidP="0039785F">
            <w:pPr>
              <w:pStyle w:val="BodyText2"/>
              <w:rPr>
                <w:color w:val="auto"/>
                <w:lang w:val="en-US"/>
              </w:rPr>
            </w:pPr>
            <w:r w:rsidRPr="008816C8">
              <w:rPr>
                <w:color w:val="auto"/>
                <w:lang w:val="en-US"/>
              </w:rPr>
              <w:t>12/2016</w:t>
            </w:r>
          </w:p>
        </w:tc>
        <w:tc>
          <w:tcPr>
            <w:tcW w:w="1560" w:type="dxa"/>
          </w:tcPr>
          <w:p w14:paraId="78AEE88A" w14:textId="77777777" w:rsidR="009200F7" w:rsidRPr="008816C8" w:rsidRDefault="009200F7" w:rsidP="0039785F">
            <w:pPr>
              <w:pStyle w:val="BodyText2"/>
              <w:rPr>
                <w:b w:val="0"/>
                <w:color w:val="auto"/>
                <w:lang w:val="en-US"/>
              </w:rPr>
            </w:pPr>
            <w:r w:rsidRPr="008816C8">
              <w:rPr>
                <w:b w:val="0"/>
                <w:color w:val="auto"/>
                <w:lang w:val="en-US"/>
              </w:rPr>
              <w:t>KR NIPI members</w:t>
            </w:r>
          </w:p>
        </w:tc>
        <w:tc>
          <w:tcPr>
            <w:tcW w:w="2551" w:type="dxa"/>
          </w:tcPr>
          <w:p w14:paraId="691BF655" w14:textId="77777777" w:rsidR="009200F7" w:rsidRPr="008816C8" w:rsidRDefault="009200F7" w:rsidP="0039785F">
            <w:pPr>
              <w:pStyle w:val="BodyText2"/>
              <w:rPr>
                <w:b w:val="0"/>
                <w:color w:val="auto"/>
                <w:lang w:val="en-US"/>
              </w:rPr>
            </w:pPr>
          </w:p>
        </w:tc>
      </w:tr>
      <w:tr w:rsidR="00E970E3" w:rsidRPr="008816C8" w14:paraId="10DC4A9E" w14:textId="77777777" w:rsidTr="0039785F">
        <w:tblPrEx>
          <w:tblCellMar>
            <w:top w:w="0" w:type="dxa"/>
            <w:bottom w:w="0" w:type="dxa"/>
          </w:tblCellMar>
        </w:tblPrEx>
        <w:tc>
          <w:tcPr>
            <w:tcW w:w="590" w:type="dxa"/>
          </w:tcPr>
          <w:p w14:paraId="79D35444" w14:textId="77777777" w:rsidR="00E970E3" w:rsidRPr="008816C8" w:rsidRDefault="00E970E3" w:rsidP="00E970E3">
            <w:pPr>
              <w:pStyle w:val="BodyText2"/>
              <w:rPr>
                <w:color w:val="auto"/>
                <w:lang w:val="en-US"/>
              </w:rPr>
            </w:pPr>
            <w:r w:rsidRPr="008816C8">
              <w:rPr>
                <w:color w:val="auto"/>
                <w:lang w:val="en-US"/>
              </w:rPr>
              <w:t>16</w:t>
            </w:r>
          </w:p>
        </w:tc>
        <w:tc>
          <w:tcPr>
            <w:tcW w:w="3629" w:type="dxa"/>
          </w:tcPr>
          <w:p w14:paraId="3B54A552" w14:textId="77777777" w:rsidR="00E970E3" w:rsidRPr="008816C8" w:rsidRDefault="00E970E3" w:rsidP="0039785F">
            <w:pPr>
              <w:pStyle w:val="BodyText2"/>
              <w:rPr>
                <w:b w:val="0"/>
                <w:color w:val="auto"/>
                <w:lang w:val="en-US"/>
              </w:rPr>
            </w:pPr>
            <w:r w:rsidRPr="008816C8">
              <w:rPr>
                <w:b w:val="0"/>
                <w:color w:val="auto"/>
                <w:lang w:val="en-US"/>
              </w:rPr>
              <w:t xml:space="preserve">Regular updates of the metadata for the </w:t>
            </w:r>
            <w:r w:rsidR="00851C18" w:rsidRPr="008816C8">
              <w:rPr>
                <w:b w:val="0"/>
                <w:color w:val="auto"/>
                <w:lang w:val="en-US"/>
              </w:rPr>
              <w:t xml:space="preserve">harmonized </w:t>
            </w:r>
            <w:r w:rsidRPr="008816C8">
              <w:rPr>
                <w:b w:val="0"/>
                <w:color w:val="auto"/>
                <w:lang w:val="en-US"/>
              </w:rPr>
              <w:t xml:space="preserve">datasets </w:t>
            </w:r>
            <w:r w:rsidR="00FB29DC" w:rsidRPr="008816C8">
              <w:rPr>
                <w:b w:val="0"/>
                <w:color w:val="auto"/>
                <w:lang w:val="en-US"/>
              </w:rPr>
              <w:t xml:space="preserve">and services made compliant with the legal requirements and technical </w:t>
            </w:r>
            <w:r w:rsidR="00F954FE" w:rsidRPr="008816C8">
              <w:rPr>
                <w:b w:val="0"/>
                <w:color w:val="auto"/>
                <w:lang w:val="en-US"/>
              </w:rPr>
              <w:t>recommendations</w:t>
            </w:r>
          </w:p>
          <w:p w14:paraId="395714EE" w14:textId="77777777" w:rsidR="00CF749E" w:rsidRPr="008816C8" w:rsidRDefault="00CF749E" w:rsidP="0039785F">
            <w:pPr>
              <w:pStyle w:val="BodyText2"/>
              <w:rPr>
                <w:b w:val="0"/>
                <w:color w:val="auto"/>
                <w:lang w:val="en-US"/>
              </w:rPr>
            </w:pPr>
            <w:r w:rsidRPr="008816C8">
              <w:rPr>
                <w:b w:val="0"/>
                <w:color w:val="auto"/>
                <w:lang w:val="en-US"/>
              </w:rPr>
              <w:t>(Metadata documenting harmonized datasets and services)</w:t>
            </w:r>
          </w:p>
        </w:tc>
        <w:tc>
          <w:tcPr>
            <w:tcW w:w="1559" w:type="dxa"/>
          </w:tcPr>
          <w:p w14:paraId="5CCAB5A4" w14:textId="77777777" w:rsidR="00E970E3" w:rsidRPr="008816C8" w:rsidRDefault="00FB29DC" w:rsidP="002C560E">
            <w:pPr>
              <w:pStyle w:val="BodyText2"/>
              <w:rPr>
                <w:color w:val="auto"/>
                <w:lang w:val="en-US"/>
              </w:rPr>
            </w:pPr>
            <w:r w:rsidRPr="008816C8">
              <w:rPr>
                <w:color w:val="auto"/>
                <w:lang w:val="en-US"/>
              </w:rPr>
              <w:t>2017-202</w:t>
            </w:r>
            <w:r w:rsidR="002C560E">
              <w:rPr>
                <w:color w:val="auto"/>
                <w:lang w:val="en-US"/>
              </w:rPr>
              <w:t>1</w:t>
            </w:r>
          </w:p>
        </w:tc>
        <w:tc>
          <w:tcPr>
            <w:tcW w:w="1560" w:type="dxa"/>
          </w:tcPr>
          <w:p w14:paraId="67A743D8" w14:textId="77777777" w:rsidR="00E970E3" w:rsidRPr="008816C8" w:rsidRDefault="00FB29DC" w:rsidP="0039785F">
            <w:pPr>
              <w:pStyle w:val="BodyText2"/>
              <w:rPr>
                <w:b w:val="0"/>
                <w:color w:val="auto"/>
                <w:lang w:val="en-US"/>
              </w:rPr>
            </w:pPr>
            <w:r w:rsidRPr="008816C8">
              <w:rPr>
                <w:b w:val="0"/>
                <w:color w:val="auto"/>
                <w:lang w:val="en-US"/>
              </w:rPr>
              <w:t>KR NIPI members</w:t>
            </w:r>
          </w:p>
        </w:tc>
        <w:tc>
          <w:tcPr>
            <w:tcW w:w="2551" w:type="dxa"/>
          </w:tcPr>
          <w:p w14:paraId="16E2AB8F" w14:textId="77777777" w:rsidR="00E970E3" w:rsidRPr="008816C8" w:rsidRDefault="00E970E3" w:rsidP="0039785F">
            <w:pPr>
              <w:pStyle w:val="BodyText2"/>
              <w:rPr>
                <w:b w:val="0"/>
                <w:color w:val="auto"/>
                <w:lang w:val="en-US"/>
              </w:rPr>
            </w:pPr>
          </w:p>
        </w:tc>
      </w:tr>
      <w:tr w:rsidR="009200F7" w:rsidRPr="008816C8" w14:paraId="6EE7B1FD" w14:textId="77777777" w:rsidTr="0039785F">
        <w:tblPrEx>
          <w:tblCellMar>
            <w:top w:w="0" w:type="dxa"/>
            <w:bottom w:w="0" w:type="dxa"/>
          </w:tblCellMar>
        </w:tblPrEx>
        <w:tc>
          <w:tcPr>
            <w:tcW w:w="590" w:type="dxa"/>
          </w:tcPr>
          <w:p w14:paraId="6E2755AE" w14:textId="77777777" w:rsidR="009200F7" w:rsidRPr="008816C8" w:rsidRDefault="009200F7" w:rsidP="0039785F">
            <w:pPr>
              <w:pStyle w:val="BodyText2"/>
              <w:rPr>
                <w:color w:val="auto"/>
                <w:lang w:val="en-US"/>
              </w:rPr>
            </w:pPr>
          </w:p>
        </w:tc>
        <w:tc>
          <w:tcPr>
            <w:tcW w:w="3629" w:type="dxa"/>
          </w:tcPr>
          <w:p w14:paraId="760EDC95" w14:textId="77777777" w:rsidR="009200F7" w:rsidRPr="008816C8" w:rsidRDefault="009200F7" w:rsidP="0039785F">
            <w:pPr>
              <w:pStyle w:val="BodyText2"/>
              <w:rPr>
                <w:color w:val="auto"/>
                <w:lang w:val="en-US"/>
              </w:rPr>
            </w:pPr>
            <w:r w:rsidRPr="008816C8">
              <w:rPr>
                <w:color w:val="auto"/>
                <w:lang w:val="en-US"/>
              </w:rPr>
              <w:t>Spatial data services</w:t>
            </w:r>
          </w:p>
        </w:tc>
        <w:tc>
          <w:tcPr>
            <w:tcW w:w="1559" w:type="dxa"/>
          </w:tcPr>
          <w:p w14:paraId="33314162" w14:textId="77777777" w:rsidR="009200F7" w:rsidRPr="008816C8" w:rsidRDefault="009200F7" w:rsidP="0039785F">
            <w:pPr>
              <w:pStyle w:val="BodyText2"/>
              <w:rPr>
                <w:color w:val="auto"/>
                <w:lang w:val="en-US"/>
              </w:rPr>
            </w:pPr>
          </w:p>
        </w:tc>
        <w:tc>
          <w:tcPr>
            <w:tcW w:w="1560" w:type="dxa"/>
          </w:tcPr>
          <w:p w14:paraId="03A60CD2" w14:textId="77777777" w:rsidR="009200F7" w:rsidRPr="008816C8" w:rsidRDefault="009200F7" w:rsidP="0039785F">
            <w:pPr>
              <w:pStyle w:val="BodyText2"/>
              <w:rPr>
                <w:color w:val="auto"/>
                <w:lang w:val="en-US"/>
              </w:rPr>
            </w:pPr>
          </w:p>
        </w:tc>
        <w:tc>
          <w:tcPr>
            <w:tcW w:w="2551" w:type="dxa"/>
          </w:tcPr>
          <w:p w14:paraId="14467AF4" w14:textId="77777777" w:rsidR="009200F7" w:rsidRPr="008816C8" w:rsidRDefault="009200F7" w:rsidP="0039785F">
            <w:pPr>
              <w:pStyle w:val="BodyText2"/>
              <w:rPr>
                <w:color w:val="auto"/>
                <w:lang w:val="en-US"/>
              </w:rPr>
            </w:pPr>
          </w:p>
        </w:tc>
      </w:tr>
      <w:tr w:rsidR="00F954FE" w:rsidRPr="008816C8" w14:paraId="6AD68D26" w14:textId="77777777" w:rsidTr="0039785F">
        <w:tblPrEx>
          <w:tblCellMar>
            <w:top w:w="0" w:type="dxa"/>
            <w:bottom w:w="0" w:type="dxa"/>
          </w:tblCellMar>
        </w:tblPrEx>
        <w:tc>
          <w:tcPr>
            <w:tcW w:w="590" w:type="dxa"/>
          </w:tcPr>
          <w:p w14:paraId="49A41E76" w14:textId="77777777" w:rsidR="00F954FE" w:rsidRPr="008816C8" w:rsidRDefault="007B65F1" w:rsidP="0039785F">
            <w:pPr>
              <w:pStyle w:val="BodyText2"/>
              <w:rPr>
                <w:color w:val="auto"/>
                <w:lang w:val="en-US"/>
              </w:rPr>
            </w:pPr>
            <w:r w:rsidRPr="008816C8">
              <w:rPr>
                <w:color w:val="auto"/>
                <w:lang w:val="en-US"/>
              </w:rPr>
              <w:t>17</w:t>
            </w:r>
          </w:p>
        </w:tc>
        <w:tc>
          <w:tcPr>
            <w:tcW w:w="3629" w:type="dxa"/>
          </w:tcPr>
          <w:p w14:paraId="38316FE8" w14:textId="77777777" w:rsidR="00F954FE" w:rsidRPr="008816C8" w:rsidRDefault="00F954FE" w:rsidP="0039785F">
            <w:pPr>
              <w:pStyle w:val="BodyText2"/>
              <w:rPr>
                <w:b w:val="0"/>
                <w:color w:val="auto"/>
                <w:lang w:val="en-US"/>
              </w:rPr>
            </w:pPr>
            <w:r w:rsidRPr="008816C8">
              <w:rPr>
                <w:b w:val="0"/>
                <w:color w:val="auto"/>
                <w:lang w:val="en-US"/>
              </w:rPr>
              <w:t>Provision of the discovery, view and download services for documented priority datasets</w:t>
            </w:r>
          </w:p>
          <w:p w14:paraId="5B9EE55B" w14:textId="77777777" w:rsidR="00F954FE" w:rsidRPr="008816C8" w:rsidRDefault="00F954FE" w:rsidP="00F954FE">
            <w:pPr>
              <w:pStyle w:val="BodyText2"/>
              <w:rPr>
                <w:b w:val="0"/>
                <w:color w:val="auto"/>
                <w:lang w:val="en-US"/>
              </w:rPr>
            </w:pPr>
            <w:r w:rsidRPr="008816C8">
              <w:rPr>
                <w:b w:val="0"/>
                <w:color w:val="auto"/>
                <w:lang w:val="en-US"/>
              </w:rPr>
              <w:t xml:space="preserve"> (Priority datasets available via spatial data services through National and European </w:t>
            </w:r>
            <w:proofErr w:type="spellStart"/>
            <w:r w:rsidRPr="008816C8">
              <w:rPr>
                <w:b w:val="0"/>
                <w:color w:val="auto"/>
                <w:lang w:val="en-US"/>
              </w:rPr>
              <w:t>Geoportal</w:t>
            </w:r>
            <w:proofErr w:type="spellEnd"/>
            <w:r w:rsidRPr="008816C8">
              <w:rPr>
                <w:b w:val="0"/>
                <w:color w:val="auto"/>
                <w:lang w:val="en-US"/>
              </w:rPr>
              <w:t>)</w:t>
            </w:r>
          </w:p>
        </w:tc>
        <w:tc>
          <w:tcPr>
            <w:tcW w:w="1559" w:type="dxa"/>
          </w:tcPr>
          <w:p w14:paraId="79D1B83C" w14:textId="77777777" w:rsidR="00F954FE" w:rsidRPr="008816C8" w:rsidRDefault="00F954FE" w:rsidP="00AE7FA6">
            <w:pPr>
              <w:pStyle w:val="BodyText2"/>
              <w:rPr>
                <w:color w:val="auto"/>
                <w:lang w:val="en-US"/>
              </w:rPr>
            </w:pPr>
            <w:r w:rsidRPr="008816C8">
              <w:rPr>
                <w:color w:val="auto"/>
                <w:lang w:val="en-US"/>
              </w:rPr>
              <w:t>TBD*</w:t>
            </w:r>
          </w:p>
        </w:tc>
        <w:tc>
          <w:tcPr>
            <w:tcW w:w="1560" w:type="dxa"/>
          </w:tcPr>
          <w:p w14:paraId="7D95D060" w14:textId="77777777" w:rsidR="00F954FE" w:rsidRPr="008816C8" w:rsidRDefault="00F954FE" w:rsidP="00AE7FA6">
            <w:pPr>
              <w:pStyle w:val="BodyText2"/>
              <w:rPr>
                <w:b w:val="0"/>
                <w:color w:val="auto"/>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7767F95E" w14:textId="77777777" w:rsidR="00F954FE" w:rsidRPr="008816C8" w:rsidRDefault="00F954FE" w:rsidP="00AE7FA6">
            <w:pPr>
              <w:pStyle w:val="BodyText2"/>
              <w:rPr>
                <w:b w:val="0"/>
                <w:color w:val="FF0000"/>
                <w:lang w:val="en-US"/>
              </w:rPr>
            </w:pPr>
            <w:r w:rsidRPr="008816C8">
              <w:rPr>
                <w:b w:val="0"/>
                <w:color w:val="auto"/>
                <w:lang w:val="en-US"/>
              </w:rPr>
              <w:t>* As soon as possible in line with the outcomes of MIWP action "Priority list of data sets"</w:t>
            </w:r>
          </w:p>
        </w:tc>
      </w:tr>
      <w:tr w:rsidR="009200F7" w:rsidRPr="008816C8" w14:paraId="367D9B01" w14:textId="77777777" w:rsidTr="0039785F">
        <w:tblPrEx>
          <w:tblCellMar>
            <w:top w:w="0" w:type="dxa"/>
            <w:bottom w:w="0" w:type="dxa"/>
          </w:tblCellMar>
        </w:tblPrEx>
        <w:tc>
          <w:tcPr>
            <w:tcW w:w="590" w:type="dxa"/>
          </w:tcPr>
          <w:p w14:paraId="43F1CA57" w14:textId="77777777" w:rsidR="009200F7" w:rsidRPr="008816C8" w:rsidRDefault="007B65F1" w:rsidP="0039785F">
            <w:pPr>
              <w:pStyle w:val="BodyText2"/>
              <w:rPr>
                <w:color w:val="auto"/>
                <w:lang w:val="en-US"/>
              </w:rPr>
            </w:pPr>
            <w:r w:rsidRPr="008816C8">
              <w:rPr>
                <w:color w:val="auto"/>
                <w:lang w:val="en-US"/>
              </w:rPr>
              <w:t>18</w:t>
            </w:r>
          </w:p>
        </w:tc>
        <w:tc>
          <w:tcPr>
            <w:tcW w:w="3629" w:type="dxa"/>
          </w:tcPr>
          <w:p w14:paraId="2DEC35DC" w14:textId="77777777" w:rsidR="009200F7" w:rsidRPr="008816C8" w:rsidRDefault="009200F7" w:rsidP="0039785F">
            <w:pPr>
              <w:pStyle w:val="BodyText2"/>
              <w:rPr>
                <w:b w:val="0"/>
                <w:color w:val="auto"/>
                <w:lang w:val="en-US"/>
              </w:rPr>
            </w:pPr>
            <w:r w:rsidRPr="008816C8">
              <w:rPr>
                <w:b w:val="0"/>
                <w:color w:val="auto"/>
                <w:lang w:val="en-US"/>
              </w:rPr>
              <w:t xml:space="preserve">Provision of the discovery, view and download services for other </w:t>
            </w:r>
            <w:r w:rsidR="00851C18" w:rsidRPr="008816C8">
              <w:rPr>
                <w:b w:val="0"/>
                <w:color w:val="auto"/>
                <w:lang w:val="en-US"/>
              </w:rPr>
              <w:t xml:space="preserve">as-is </w:t>
            </w:r>
            <w:r w:rsidRPr="008816C8">
              <w:rPr>
                <w:b w:val="0"/>
                <w:color w:val="auto"/>
                <w:lang w:val="en-US"/>
              </w:rPr>
              <w:t>documented datasets</w:t>
            </w:r>
          </w:p>
          <w:p w14:paraId="59DB12FC" w14:textId="77777777" w:rsidR="009200F7" w:rsidRPr="008816C8" w:rsidRDefault="009200F7" w:rsidP="0039785F">
            <w:pPr>
              <w:pStyle w:val="BodyText2"/>
              <w:rPr>
                <w:b w:val="0"/>
                <w:color w:val="auto"/>
                <w:lang w:val="en-US"/>
              </w:rPr>
            </w:pPr>
            <w:r w:rsidRPr="008816C8">
              <w:rPr>
                <w:b w:val="0"/>
                <w:color w:val="auto"/>
                <w:lang w:val="en-US"/>
              </w:rPr>
              <w:t xml:space="preserve"> (Other </w:t>
            </w:r>
            <w:r w:rsidR="00851C18" w:rsidRPr="008816C8">
              <w:rPr>
                <w:b w:val="0"/>
                <w:color w:val="auto"/>
                <w:lang w:val="en-US"/>
              </w:rPr>
              <w:t xml:space="preserve">as-is </w:t>
            </w:r>
            <w:r w:rsidRPr="008816C8">
              <w:rPr>
                <w:b w:val="0"/>
                <w:color w:val="auto"/>
                <w:lang w:val="en-US"/>
              </w:rPr>
              <w:t xml:space="preserve">documented datasets available via spatial data services through National and European </w:t>
            </w:r>
            <w:proofErr w:type="spellStart"/>
            <w:r w:rsidRPr="008816C8">
              <w:rPr>
                <w:b w:val="0"/>
                <w:color w:val="auto"/>
                <w:lang w:val="en-US"/>
              </w:rPr>
              <w:t>Geoportal</w:t>
            </w:r>
            <w:proofErr w:type="spellEnd"/>
            <w:r w:rsidRPr="008816C8">
              <w:rPr>
                <w:b w:val="0"/>
                <w:color w:val="auto"/>
                <w:lang w:val="en-US"/>
              </w:rPr>
              <w:t>)</w:t>
            </w:r>
          </w:p>
        </w:tc>
        <w:tc>
          <w:tcPr>
            <w:tcW w:w="1559" w:type="dxa"/>
          </w:tcPr>
          <w:p w14:paraId="44743420" w14:textId="77777777" w:rsidR="009200F7" w:rsidRPr="008816C8" w:rsidRDefault="009200F7" w:rsidP="0039785F">
            <w:pPr>
              <w:pStyle w:val="BodyText2"/>
              <w:rPr>
                <w:color w:val="auto"/>
                <w:lang w:val="en-US"/>
              </w:rPr>
            </w:pPr>
            <w:r w:rsidRPr="008816C8">
              <w:rPr>
                <w:color w:val="auto"/>
                <w:lang w:val="en-US"/>
              </w:rPr>
              <w:t>12/2016</w:t>
            </w:r>
          </w:p>
        </w:tc>
        <w:tc>
          <w:tcPr>
            <w:tcW w:w="1560" w:type="dxa"/>
          </w:tcPr>
          <w:p w14:paraId="39007CA7" w14:textId="77777777" w:rsidR="009200F7" w:rsidRPr="008816C8" w:rsidRDefault="009200F7" w:rsidP="0039785F">
            <w:pPr>
              <w:pStyle w:val="BodyText2"/>
              <w:rPr>
                <w:b w:val="0"/>
                <w:color w:val="auto"/>
                <w:lang w:val="en-US"/>
              </w:rPr>
            </w:pPr>
            <w:r w:rsidRPr="008816C8">
              <w:rPr>
                <w:b w:val="0"/>
                <w:color w:val="auto"/>
                <w:lang w:val="en-US"/>
              </w:rPr>
              <w:t>KR NIPI members</w:t>
            </w:r>
          </w:p>
        </w:tc>
        <w:tc>
          <w:tcPr>
            <w:tcW w:w="2551" w:type="dxa"/>
          </w:tcPr>
          <w:p w14:paraId="62BAE204" w14:textId="77777777" w:rsidR="009200F7" w:rsidRPr="008816C8" w:rsidRDefault="009200F7" w:rsidP="0039785F">
            <w:pPr>
              <w:pStyle w:val="BodyText2"/>
              <w:rPr>
                <w:b w:val="0"/>
                <w:color w:val="FF0000"/>
                <w:lang w:val="en-US"/>
              </w:rPr>
            </w:pPr>
            <w:r w:rsidRPr="008816C8">
              <w:rPr>
                <w:b w:val="0"/>
                <w:color w:val="auto"/>
                <w:lang w:val="en-US"/>
              </w:rPr>
              <w:t xml:space="preserve">+ Including implementation of the request from National Forest Centre to create national tile scheme for cashed services </w:t>
            </w:r>
          </w:p>
        </w:tc>
      </w:tr>
      <w:tr w:rsidR="00851C18" w:rsidRPr="008816C8" w14:paraId="618B867C" w14:textId="77777777" w:rsidTr="0039785F">
        <w:tblPrEx>
          <w:tblCellMar>
            <w:top w:w="0" w:type="dxa"/>
            <w:bottom w:w="0" w:type="dxa"/>
          </w:tblCellMar>
        </w:tblPrEx>
        <w:tc>
          <w:tcPr>
            <w:tcW w:w="590" w:type="dxa"/>
          </w:tcPr>
          <w:p w14:paraId="0BB05041" w14:textId="77777777" w:rsidR="00851C18" w:rsidRPr="008816C8" w:rsidRDefault="007B65F1" w:rsidP="0039785F">
            <w:pPr>
              <w:pStyle w:val="BodyText2"/>
              <w:rPr>
                <w:color w:val="auto"/>
                <w:lang w:val="en-US"/>
              </w:rPr>
            </w:pPr>
            <w:r w:rsidRPr="008816C8">
              <w:rPr>
                <w:color w:val="auto"/>
                <w:lang w:val="en-US"/>
              </w:rPr>
              <w:t>19</w:t>
            </w:r>
          </w:p>
        </w:tc>
        <w:tc>
          <w:tcPr>
            <w:tcW w:w="3629" w:type="dxa"/>
          </w:tcPr>
          <w:p w14:paraId="06038DC1" w14:textId="77777777" w:rsidR="00851C18" w:rsidRPr="008816C8" w:rsidRDefault="00851C18" w:rsidP="008B77F8">
            <w:pPr>
              <w:pStyle w:val="BodyText2"/>
              <w:rPr>
                <w:b w:val="0"/>
                <w:color w:val="auto"/>
                <w:lang w:val="en-US"/>
              </w:rPr>
            </w:pPr>
            <w:r w:rsidRPr="008816C8">
              <w:rPr>
                <w:b w:val="0"/>
                <w:color w:val="auto"/>
                <w:lang w:val="en-US"/>
              </w:rPr>
              <w:t>Provision of the discovery, view and download services for all Annex I datasets</w:t>
            </w:r>
          </w:p>
          <w:p w14:paraId="5161EB2C" w14:textId="77777777" w:rsidR="00851C18" w:rsidRPr="008816C8" w:rsidRDefault="00851C18" w:rsidP="00851C18">
            <w:pPr>
              <w:pStyle w:val="BodyText2"/>
              <w:rPr>
                <w:b w:val="0"/>
                <w:color w:val="auto"/>
                <w:lang w:val="en-US"/>
              </w:rPr>
            </w:pPr>
            <w:r w:rsidRPr="008816C8">
              <w:rPr>
                <w:b w:val="0"/>
                <w:color w:val="auto"/>
                <w:lang w:val="en-US"/>
              </w:rPr>
              <w:t xml:space="preserve"> (All Annex I datasets available via spatial data services through National and European </w:t>
            </w:r>
            <w:proofErr w:type="spellStart"/>
            <w:r w:rsidRPr="008816C8">
              <w:rPr>
                <w:b w:val="0"/>
                <w:color w:val="auto"/>
                <w:lang w:val="en-US"/>
              </w:rPr>
              <w:t>Geoportal</w:t>
            </w:r>
            <w:proofErr w:type="spellEnd"/>
            <w:r w:rsidRPr="008816C8">
              <w:rPr>
                <w:b w:val="0"/>
                <w:color w:val="auto"/>
                <w:lang w:val="en-US"/>
              </w:rPr>
              <w:t>)</w:t>
            </w:r>
          </w:p>
        </w:tc>
        <w:tc>
          <w:tcPr>
            <w:tcW w:w="1559" w:type="dxa"/>
          </w:tcPr>
          <w:p w14:paraId="3487CA75" w14:textId="77777777" w:rsidR="00851C18" w:rsidRPr="008816C8" w:rsidRDefault="00851C18" w:rsidP="00AE7FA6">
            <w:pPr>
              <w:pStyle w:val="BodyText2"/>
              <w:rPr>
                <w:color w:val="auto"/>
                <w:lang w:val="en-US"/>
              </w:rPr>
            </w:pPr>
            <w:r w:rsidRPr="008816C8">
              <w:rPr>
                <w:color w:val="auto"/>
                <w:lang w:val="en-US"/>
              </w:rPr>
              <w:t>2017</w:t>
            </w:r>
          </w:p>
        </w:tc>
        <w:tc>
          <w:tcPr>
            <w:tcW w:w="1560" w:type="dxa"/>
          </w:tcPr>
          <w:p w14:paraId="586EAB51" w14:textId="77777777" w:rsidR="00851C18" w:rsidRPr="008816C8" w:rsidRDefault="00851C18" w:rsidP="00AE7FA6">
            <w:pPr>
              <w:pStyle w:val="BodyText2"/>
              <w:rPr>
                <w:b w:val="0"/>
                <w:color w:val="auto"/>
                <w:lang w:val="en-US"/>
              </w:rPr>
            </w:pPr>
            <w:r w:rsidRPr="008816C8">
              <w:rPr>
                <w:b w:val="0"/>
                <w:color w:val="auto"/>
                <w:lang w:val="en-US"/>
              </w:rPr>
              <w:t>KR NIPI members</w:t>
            </w:r>
          </w:p>
        </w:tc>
        <w:tc>
          <w:tcPr>
            <w:tcW w:w="2551" w:type="dxa"/>
          </w:tcPr>
          <w:p w14:paraId="28AF20D6" w14:textId="77777777" w:rsidR="00851C18" w:rsidRPr="008816C8" w:rsidRDefault="00851C18" w:rsidP="00851C18">
            <w:pPr>
              <w:pStyle w:val="BodyText2"/>
              <w:rPr>
                <w:b w:val="0"/>
                <w:color w:val="auto"/>
                <w:lang w:val="en-US"/>
              </w:rPr>
            </w:pPr>
          </w:p>
        </w:tc>
      </w:tr>
      <w:tr w:rsidR="00CF749E" w:rsidRPr="008816C8" w14:paraId="21CBACDC" w14:textId="77777777" w:rsidTr="0039785F">
        <w:tblPrEx>
          <w:tblCellMar>
            <w:top w:w="0" w:type="dxa"/>
            <w:bottom w:w="0" w:type="dxa"/>
          </w:tblCellMar>
        </w:tblPrEx>
        <w:tc>
          <w:tcPr>
            <w:tcW w:w="590" w:type="dxa"/>
          </w:tcPr>
          <w:p w14:paraId="40B32D98" w14:textId="77777777" w:rsidR="00CF749E" w:rsidRPr="008816C8" w:rsidRDefault="007B65F1" w:rsidP="0039785F">
            <w:pPr>
              <w:pStyle w:val="BodyText2"/>
              <w:rPr>
                <w:color w:val="auto"/>
                <w:lang w:val="en-US"/>
              </w:rPr>
            </w:pPr>
            <w:r w:rsidRPr="008816C8">
              <w:rPr>
                <w:color w:val="auto"/>
                <w:lang w:val="en-US"/>
              </w:rPr>
              <w:t>20</w:t>
            </w:r>
          </w:p>
        </w:tc>
        <w:tc>
          <w:tcPr>
            <w:tcW w:w="3629" w:type="dxa"/>
          </w:tcPr>
          <w:p w14:paraId="34E9054C" w14:textId="77777777" w:rsidR="00CF749E" w:rsidRPr="008816C8" w:rsidRDefault="00CF749E" w:rsidP="00851C18">
            <w:pPr>
              <w:pStyle w:val="BodyText2"/>
              <w:rPr>
                <w:b w:val="0"/>
                <w:color w:val="auto"/>
                <w:lang w:val="en-US"/>
              </w:rPr>
            </w:pPr>
            <w:r w:rsidRPr="008816C8">
              <w:rPr>
                <w:b w:val="0"/>
                <w:color w:val="auto"/>
                <w:lang w:val="en-US"/>
              </w:rPr>
              <w:t>Provision of the discovery, view and download services for all newly collected and extensively restructured Annex II and III spatial data sets</w:t>
            </w:r>
          </w:p>
          <w:p w14:paraId="6A7D0FB8" w14:textId="77777777" w:rsidR="00CF749E" w:rsidRPr="008816C8" w:rsidRDefault="00CF749E" w:rsidP="00851C18">
            <w:pPr>
              <w:pStyle w:val="BodyText2"/>
              <w:rPr>
                <w:b w:val="0"/>
                <w:color w:val="auto"/>
                <w:lang w:val="en-US"/>
              </w:rPr>
            </w:pPr>
            <w:r w:rsidRPr="008816C8">
              <w:rPr>
                <w:b w:val="0"/>
                <w:color w:val="auto"/>
                <w:lang w:val="en-US"/>
              </w:rPr>
              <w:t xml:space="preserve"> (All newly collected and extensively restructured Annex II and III datasets available via spatial data services through National and European </w:t>
            </w:r>
            <w:proofErr w:type="spellStart"/>
            <w:r w:rsidRPr="008816C8">
              <w:rPr>
                <w:b w:val="0"/>
                <w:color w:val="auto"/>
                <w:lang w:val="en-US"/>
              </w:rPr>
              <w:t>Geoportal</w:t>
            </w:r>
            <w:proofErr w:type="spellEnd"/>
            <w:r w:rsidRPr="008816C8">
              <w:rPr>
                <w:b w:val="0"/>
                <w:color w:val="auto"/>
                <w:lang w:val="en-US"/>
              </w:rPr>
              <w:t>)</w:t>
            </w:r>
          </w:p>
        </w:tc>
        <w:tc>
          <w:tcPr>
            <w:tcW w:w="1559" w:type="dxa"/>
          </w:tcPr>
          <w:p w14:paraId="5AD10140" w14:textId="77777777" w:rsidR="00CF749E" w:rsidRPr="008816C8" w:rsidRDefault="00CF749E" w:rsidP="00AE7FA6">
            <w:pPr>
              <w:pStyle w:val="BodyText2"/>
              <w:rPr>
                <w:color w:val="auto"/>
                <w:lang w:val="en-US"/>
              </w:rPr>
            </w:pPr>
            <w:r w:rsidRPr="008816C8">
              <w:rPr>
                <w:color w:val="auto"/>
                <w:lang w:val="en-US"/>
              </w:rPr>
              <w:t>2018</w:t>
            </w:r>
          </w:p>
        </w:tc>
        <w:tc>
          <w:tcPr>
            <w:tcW w:w="1560" w:type="dxa"/>
          </w:tcPr>
          <w:p w14:paraId="1F29D44F" w14:textId="77777777" w:rsidR="00CF749E" w:rsidRPr="008816C8" w:rsidRDefault="00CF749E" w:rsidP="00AE7FA6">
            <w:pPr>
              <w:pStyle w:val="BodyText2"/>
              <w:rPr>
                <w:b w:val="0"/>
                <w:color w:val="auto"/>
                <w:lang w:val="en-US"/>
              </w:rPr>
            </w:pPr>
            <w:r w:rsidRPr="008816C8">
              <w:rPr>
                <w:b w:val="0"/>
                <w:color w:val="auto"/>
                <w:lang w:val="en-US"/>
              </w:rPr>
              <w:t>KR NIPI members</w:t>
            </w:r>
          </w:p>
        </w:tc>
        <w:tc>
          <w:tcPr>
            <w:tcW w:w="2551" w:type="dxa"/>
          </w:tcPr>
          <w:p w14:paraId="22C2AF4C" w14:textId="77777777" w:rsidR="00CF749E" w:rsidRPr="008816C8" w:rsidRDefault="00CF749E" w:rsidP="0039785F">
            <w:pPr>
              <w:pStyle w:val="BodyText2"/>
              <w:rPr>
                <w:b w:val="0"/>
                <w:color w:val="auto"/>
                <w:lang w:val="en-US"/>
              </w:rPr>
            </w:pPr>
          </w:p>
        </w:tc>
      </w:tr>
      <w:tr w:rsidR="00CF749E" w:rsidRPr="008816C8" w14:paraId="66B23991" w14:textId="77777777" w:rsidTr="0039785F">
        <w:tblPrEx>
          <w:tblCellMar>
            <w:top w:w="0" w:type="dxa"/>
            <w:bottom w:w="0" w:type="dxa"/>
          </w:tblCellMar>
        </w:tblPrEx>
        <w:tc>
          <w:tcPr>
            <w:tcW w:w="590" w:type="dxa"/>
          </w:tcPr>
          <w:p w14:paraId="1DB33AE2" w14:textId="77777777" w:rsidR="00CF749E" w:rsidRPr="008816C8" w:rsidRDefault="007B65F1" w:rsidP="0039785F">
            <w:pPr>
              <w:pStyle w:val="BodyText2"/>
              <w:rPr>
                <w:color w:val="auto"/>
                <w:lang w:val="en-US"/>
              </w:rPr>
            </w:pPr>
            <w:r w:rsidRPr="008816C8">
              <w:rPr>
                <w:color w:val="auto"/>
                <w:lang w:val="en-US"/>
              </w:rPr>
              <w:lastRenderedPageBreak/>
              <w:t>21</w:t>
            </w:r>
          </w:p>
        </w:tc>
        <w:tc>
          <w:tcPr>
            <w:tcW w:w="3629" w:type="dxa"/>
          </w:tcPr>
          <w:p w14:paraId="7FE6A419" w14:textId="77777777" w:rsidR="00CF749E" w:rsidRPr="008816C8" w:rsidRDefault="00CF749E" w:rsidP="00CF749E">
            <w:pPr>
              <w:pStyle w:val="BodyText2"/>
              <w:rPr>
                <w:b w:val="0"/>
                <w:color w:val="auto"/>
                <w:lang w:val="en-US"/>
              </w:rPr>
            </w:pPr>
            <w:r w:rsidRPr="008816C8">
              <w:rPr>
                <w:b w:val="0"/>
                <w:color w:val="auto"/>
                <w:lang w:val="en-US"/>
              </w:rPr>
              <w:t>Provision of the discovery, view and download services for all remaining Annex II and III spatial data sets</w:t>
            </w:r>
          </w:p>
          <w:p w14:paraId="4E325588" w14:textId="77777777" w:rsidR="00CF749E" w:rsidRPr="008816C8" w:rsidRDefault="00CF749E" w:rsidP="00CF749E">
            <w:pPr>
              <w:pStyle w:val="BodyText2"/>
              <w:rPr>
                <w:b w:val="0"/>
                <w:color w:val="auto"/>
                <w:lang w:val="en-US"/>
              </w:rPr>
            </w:pPr>
            <w:r w:rsidRPr="008816C8">
              <w:rPr>
                <w:b w:val="0"/>
                <w:color w:val="auto"/>
                <w:lang w:val="en-US"/>
              </w:rPr>
              <w:t xml:space="preserve"> (All remaining Annex II and III datasets available via spatial data services through National and European </w:t>
            </w:r>
            <w:proofErr w:type="spellStart"/>
            <w:r w:rsidRPr="008816C8">
              <w:rPr>
                <w:b w:val="0"/>
                <w:color w:val="auto"/>
                <w:lang w:val="en-US"/>
              </w:rPr>
              <w:t>Geoportal</w:t>
            </w:r>
            <w:proofErr w:type="spellEnd"/>
          </w:p>
        </w:tc>
        <w:tc>
          <w:tcPr>
            <w:tcW w:w="1559" w:type="dxa"/>
          </w:tcPr>
          <w:p w14:paraId="7C082562" w14:textId="77777777" w:rsidR="00CF749E" w:rsidRPr="008816C8" w:rsidRDefault="00CF749E" w:rsidP="00AE7FA6">
            <w:pPr>
              <w:pStyle w:val="BodyText2"/>
              <w:rPr>
                <w:color w:val="auto"/>
                <w:lang w:val="en-US"/>
              </w:rPr>
            </w:pPr>
            <w:r w:rsidRPr="008816C8">
              <w:rPr>
                <w:color w:val="auto"/>
                <w:lang w:val="en-US"/>
              </w:rPr>
              <w:t>2020</w:t>
            </w:r>
          </w:p>
        </w:tc>
        <w:tc>
          <w:tcPr>
            <w:tcW w:w="1560" w:type="dxa"/>
          </w:tcPr>
          <w:p w14:paraId="5F8F1EC7" w14:textId="77777777" w:rsidR="00CF749E" w:rsidRPr="008816C8" w:rsidRDefault="00CF749E" w:rsidP="00AE7FA6">
            <w:pPr>
              <w:pStyle w:val="BodyText2"/>
              <w:rPr>
                <w:b w:val="0"/>
                <w:color w:val="auto"/>
                <w:lang w:val="en-US"/>
              </w:rPr>
            </w:pPr>
            <w:r w:rsidRPr="008816C8">
              <w:rPr>
                <w:b w:val="0"/>
                <w:color w:val="auto"/>
                <w:lang w:val="en-US"/>
              </w:rPr>
              <w:t>KR NIPI members</w:t>
            </w:r>
          </w:p>
        </w:tc>
        <w:tc>
          <w:tcPr>
            <w:tcW w:w="2551" w:type="dxa"/>
          </w:tcPr>
          <w:p w14:paraId="109CB401" w14:textId="77777777" w:rsidR="00CF749E" w:rsidRPr="008816C8" w:rsidRDefault="00CF749E" w:rsidP="0039785F">
            <w:pPr>
              <w:pStyle w:val="BodyText2"/>
              <w:rPr>
                <w:b w:val="0"/>
                <w:color w:val="auto"/>
                <w:lang w:val="en-US"/>
              </w:rPr>
            </w:pPr>
          </w:p>
        </w:tc>
      </w:tr>
      <w:tr w:rsidR="009200F7" w:rsidRPr="008816C8" w14:paraId="128DF971" w14:textId="77777777" w:rsidTr="0039785F">
        <w:tblPrEx>
          <w:tblCellMar>
            <w:top w:w="0" w:type="dxa"/>
            <w:bottom w:w="0" w:type="dxa"/>
          </w:tblCellMar>
        </w:tblPrEx>
        <w:tc>
          <w:tcPr>
            <w:tcW w:w="590" w:type="dxa"/>
          </w:tcPr>
          <w:p w14:paraId="5E575A26" w14:textId="77777777" w:rsidR="009200F7" w:rsidRPr="008816C8" w:rsidRDefault="009200F7" w:rsidP="0039785F">
            <w:pPr>
              <w:pStyle w:val="BodyText2"/>
              <w:rPr>
                <w:color w:val="auto"/>
                <w:lang w:val="en-US"/>
              </w:rPr>
            </w:pPr>
          </w:p>
        </w:tc>
        <w:tc>
          <w:tcPr>
            <w:tcW w:w="3629" w:type="dxa"/>
          </w:tcPr>
          <w:p w14:paraId="582A41EA" w14:textId="77777777" w:rsidR="009200F7" w:rsidRPr="008816C8" w:rsidRDefault="009200F7" w:rsidP="0039785F">
            <w:pPr>
              <w:pStyle w:val="BodyText2"/>
              <w:rPr>
                <w:color w:val="auto"/>
                <w:lang w:val="en-US"/>
              </w:rPr>
            </w:pPr>
            <w:r w:rsidRPr="008816C8">
              <w:rPr>
                <w:color w:val="auto"/>
                <w:lang w:val="en-US"/>
              </w:rPr>
              <w:t>Data and service sharing</w:t>
            </w:r>
          </w:p>
        </w:tc>
        <w:tc>
          <w:tcPr>
            <w:tcW w:w="1559" w:type="dxa"/>
          </w:tcPr>
          <w:p w14:paraId="682F8D3D" w14:textId="77777777" w:rsidR="009200F7" w:rsidRPr="008816C8" w:rsidRDefault="009200F7" w:rsidP="0039785F">
            <w:pPr>
              <w:pStyle w:val="BodyText2"/>
              <w:rPr>
                <w:color w:val="auto"/>
                <w:lang w:val="en-US"/>
              </w:rPr>
            </w:pPr>
          </w:p>
        </w:tc>
        <w:tc>
          <w:tcPr>
            <w:tcW w:w="1560" w:type="dxa"/>
          </w:tcPr>
          <w:p w14:paraId="034A5832" w14:textId="77777777" w:rsidR="009200F7" w:rsidRPr="008816C8" w:rsidRDefault="009200F7" w:rsidP="0039785F">
            <w:pPr>
              <w:pStyle w:val="BodyText2"/>
              <w:rPr>
                <w:color w:val="auto"/>
                <w:lang w:val="en-US"/>
              </w:rPr>
            </w:pPr>
          </w:p>
        </w:tc>
        <w:tc>
          <w:tcPr>
            <w:tcW w:w="2551" w:type="dxa"/>
          </w:tcPr>
          <w:p w14:paraId="56263361" w14:textId="77777777" w:rsidR="009200F7" w:rsidRPr="008816C8" w:rsidRDefault="009200F7" w:rsidP="0039785F">
            <w:pPr>
              <w:pStyle w:val="BodyText2"/>
              <w:rPr>
                <w:color w:val="auto"/>
                <w:lang w:val="en-US"/>
              </w:rPr>
            </w:pPr>
          </w:p>
        </w:tc>
      </w:tr>
      <w:tr w:rsidR="009200F7" w:rsidRPr="008816C8" w14:paraId="24E14D12" w14:textId="77777777" w:rsidTr="0039785F">
        <w:tblPrEx>
          <w:tblCellMar>
            <w:top w:w="0" w:type="dxa"/>
            <w:bottom w:w="0" w:type="dxa"/>
          </w:tblCellMar>
        </w:tblPrEx>
        <w:tc>
          <w:tcPr>
            <w:tcW w:w="590" w:type="dxa"/>
          </w:tcPr>
          <w:p w14:paraId="6BA72F6D" w14:textId="77777777" w:rsidR="009200F7" w:rsidRPr="008816C8" w:rsidRDefault="007B65F1" w:rsidP="0039785F">
            <w:pPr>
              <w:pStyle w:val="BodyText2"/>
              <w:rPr>
                <w:color w:val="auto"/>
                <w:lang w:val="en-US"/>
              </w:rPr>
            </w:pPr>
            <w:r w:rsidRPr="008816C8">
              <w:rPr>
                <w:color w:val="auto"/>
                <w:lang w:val="en-US"/>
              </w:rPr>
              <w:t>22</w:t>
            </w:r>
          </w:p>
        </w:tc>
        <w:tc>
          <w:tcPr>
            <w:tcW w:w="3629" w:type="dxa"/>
          </w:tcPr>
          <w:p w14:paraId="07D35E77" w14:textId="77777777" w:rsidR="009200F7" w:rsidRPr="008816C8" w:rsidRDefault="009200F7" w:rsidP="0039785F">
            <w:pPr>
              <w:pStyle w:val="BodyText2"/>
              <w:rPr>
                <w:b w:val="0"/>
                <w:color w:val="auto"/>
                <w:lang w:val="en-US"/>
              </w:rPr>
            </w:pPr>
            <w:r w:rsidRPr="008816C8">
              <w:rPr>
                <w:b w:val="0"/>
                <w:color w:val="auto"/>
                <w:lang w:val="en-US"/>
              </w:rPr>
              <w:t xml:space="preserve">Creation of "the </w:t>
            </w:r>
            <w:r w:rsidR="00CE5941" w:rsidRPr="008816C8">
              <w:rPr>
                <w:b w:val="0"/>
                <w:color w:val="auto"/>
                <w:lang w:val="en-US"/>
              </w:rPr>
              <w:t>NIPI</w:t>
            </w:r>
            <w:r w:rsidRPr="008816C8">
              <w:rPr>
                <w:b w:val="0"/>
                <w:color w:val="auto"/>
                <w:lang w:val="en-US"/>
              </w:rPr>
              <w:t xml:space="preserve"> License Policy "</w:t>
            </w:r>
          </w:p>
          <w:p w14:paraId="52DBA411" w14:textId="77777777" w:rsidR="009200F7" w:rsidRPr="008816C8" w:rsidRDefault="009200F7" w:rsidP="00CE5941">
            <w:pPr>
              <w:pStyle w:val="BodyText2"/>
              <w:rPr>
                <w:b w:val="0"/>
                <w:color w:val="auto"/>
                <w:lang w:val="en-US"/>
              </w:rPr>
            </w:pPr>
            <w:r w:rsidRPr="008816C8">
              <w:rPr>
                <w:b w:val="0"/>
                <w:color w:val="auto"/>
                <w:lang w:val="en-US"/>
              </w:rPr>
              <w:t>(Document of "the N</w:t>
            </w:r>
            <w:r w:rsidR="00CE5941" w:rsidRPr="008816C8">
              <w:rPr>
                <w:b w:val="0"/>
                <w:color w:val="auto"/>
                <w:lang w:val="en-US"/>
              </w:rPr>
              <w:t>IP</w:t>
            </w:r>
            <w:r w:rsidRPr="008816C8">
              <w:rPr>
                <w:b w:val="0"/>
                <w:color w:val="auto"/>
                <w:lang w:val="en-US"/>
              </w:rPr>
              <w:t>I License Policy "</w:t>
            </w:r>
          </w:p>
        </w:tc>
        <w:tc>
          <w:tcPr>
            <w:tcW w:w="1559" w:type="dxa"/>
          </w:tcPr>
          <w:p w14:paraId="4F31F9CA" w14:textId="77777777" w:rsidR="009200F7" w:rsidRPr="008816C8" w:rsidRDefault="009200F7" w:rsidP="0039785F">
            <w:pPr>
              <w:pStyle w:val="BodyText2"/>
              <w:rPr>
                <w:color w:val="auto"/>
                <w:lang w:val="en-US"/>
              </w:rPr>
            </w:pPr>
            <w:r w:rsidRPr="008816C8">
              <w:rPr>
                <w:color w:val="auto"/>
                <w:lang w:val="en-US"/>
              </w:rPr>
              <w:t>2016</w:t>
            </w:r>
          </w:p>
        </w:tc>
        <w:tc>
          <w:tcPr>
            <w:tcW w:w="1560" w:type="dxa"/>
          </w:tcPr>
          <w:p w14:paraId="4B489D83" w14:textId="77777777" w:rsidR="009200F7" w:rsidRPr="008816C8" w:rsidRDefault="009200F7" w:rsidP="00DB076C">
            <w:pPr>
              <w:pStyle w:val="BodyText2"/>
              <w:rPr>
                <w:b w:val="0"/>
                <w:color w:val="auto"/>
                <w:lang w:val="en-US"/>
              </w:rPr>
            </w:pPr>
            <w:r w:rsidRPr="008816C8">
              <w:rPr>
                <w:b w:val="0"/>
                <w:color w:val="auto"/>
                <w:lang w:val="en-US"/>
              </w:rPr>
              <w:t>TPVSS / KR NIPI members</w:t>
            </w:r>
          </w:p>
        </w:tc>
        <w:tc>
          <w:tcPr>
            <w:tcW w:w="2551" w:type="dxa"/>
          </w:tcPr>
          <w:p w14:paraId="3BCF9058" w14:textId="77777777" w:rsidR="009200F7" w:rsidRPr="008816C8" w:rsidRDefault="009200F7" w:rsidP="0039785F">
            <w:pPr>
              <w:pStyle w:val="BodyText2"/>
              <w:rPr>
                <w:b w:val="0"/>
                <w:color w:val="auto"/>
                <w:lang w:val="en-US"/>
              </w:rPr>
            </w:pPr>
          </w:p>
        </w:tc>
      </w:tr>
      <w:tr w:rsidR="00CF749E" w:rsidRPr="008816C8" w14:paraId="31231D4C" w14:textId="77777777" w:rsidTr="0039785F">
        <w:tblPrEx>
          <w:tblCellMar>
            <w:top w:w="0" w:type="dxa"/>
            <w:bottom w:w="0" w:type="dxa"/>
          </w:tblCellMar>
        </w:tblPrEx>
        <w:tc>
          <w:tcPr>
            <w:tcW w:w="590" w:type="dxa"/>
          </w:tcPr>
          <w:p w14:paraId="725681DB" w14:textId="77777777" w:rsidR="00CF749E" w:rsidRPr="008816C8" w:rsidRDefault="007B65F1" w:rsidP="0039785F">
            <w:pPr>
              <w:pStyle w:val="BodyText2"/>
              <w:rPr>
                <w:color w:val="auto"/>
                <w:lang w:val="en-US"/>
              </w:rPr>
            </w:pPr>
            <w:r w:rsidRPr="008816C8">
              <w:rPr>
                <w:color w:val="auto"/>
                <w:lang w:val="en-US"/>
              </w:rPr>
              <w:t>23</w:t>
            </w:r>
          </w:p>
        </w:tc>
        <w:tc>
          <w:tcPr>
            <w:tcW w:w="3629" w:type="dxa"/>
          </w:tcPr>
          <w:p w14:paraId="7BC091FC" w14:textId="77777777" w:rsidR="00CF749E" w:rsidRPr="008816C8" w:rsidRDefault="00CF749E" w:rsidP="007B65F1">
            <w:pPr>
              <w:pStyle w:val="BodyText2"/>
              <w:rPr>
                <w:b w:val="0"/>
                <w:color w:val="auto"/>
                <w:lang w:val="en-US"/>
              </w:rPr>
            </w:pPr>
            <w:r w:rsidRPr="008816C8">
              <w:rPr>
                <w:b w:val="0"/>
                <w:color w:val="auto"/>
                <w:lang w:val="en-US"/>
              </w:rPr>
              <w:t xml:space="preserve">Harmonized </w:t>
            </w:r>
            <w:r w:rsidR="007B65F1" w:rsidRPr="008816C8">
              <w:rPr>
                <w:b w:val="0"/>
                <w:color w:val="auto"/>
                <w:lang w:val="en-US"/>
              </w:rPr>
              <w:t>data sharing</w:t>
            </w:r>
            <w:r w:rsidRPr="008816C8">
              <w:rPr>
                <w:b w:val="0"/>
                <w:color w:val="auto"/>
                <w:lang w:val="en-US"/>
              </w:rPr>
              <w:t xml:space="preserve"> arrangements in use</w:t>
            </w:r>
          </w:p>
        </w:tc>
        <w:tc>
          <w:tcPr>
            <w:tcW w:w="1559" w:type="dxa"/>
          </w:tcPr>
          <w:p w14:paraId="25AD7240" w14:textId="77777777" w:rsidR="00CF749E" w:rsidRPr="008816C8" w:rsidRDefault="00CF749E" w:rsidP="0039785F">
            <w:pPr>
              <w:pStyle w:val="BodyText2"/>
              <w:rPr>
                <w:color w:val="auto"/>
                <w:lang w:val="en-US"/>
              </w:rPr>
            </w:pPr>
            <w:r w:rsidRPr="008816C8">
              <w:rPr>
                <w:color w:val="auto"/>
                <w:lang w:val="en-US"/>
              </w:rPr>
              <w:t>2016</w:t>
            </w:r>
          </w:p>
        </w:tc>
        <w:tc>
          <w:tcPr>
            <w:tcW w:w="1560" w:type="dxa"/>
          </w:tcPr>
          <w:p w14:paraId="0A04C4EA" w14:textId="77777777" w:rsidR="00CF749E" w:rsidRPr="008816C8" w:rsidRDefault="00CF749E" w:rsidP="0039785F">
            <w:pPr>
              <w:pStyle w:val="BodyText2"/>
              <w:rPr>
                <w:b w:val="0"/>
                <w:color w:val="auto"/>
                <w:lang w:val="en-US"/>
              </w:rPr>
            </w:pPr>
            <w:r w:rsidRPr="008816C8">
              <w:rPr>
                <w:b w:val="0"/>
                <w:color w:val="auto"/>
                <w:lang w:val="en-US"/>
              </w:rPr>
              <w:t>KR NIPI members</w:t>
            </w:r>
          </w:p>
        </w:tc>
        <w:tc>
          <w:tcPr>
            <w:tcW w:w="2551" w:type="dxa"/>
          </w:tcPr>
          <w:p w14:paraId="7402F94E" w14:textId="77777777" w:rsidR="00CF749E" w:rsidRPr="008816C8" w:rsidRDefault="00CF749E" w:rsidP="0039785F">
            <w:pPr>
              <w:pStyle w:val="BodyText2"/>
              <w:rPr>
                <w:b w:val="0"/>
                <w:color w:val="auto"/>
                <w:lang w:val="en-US"/>
              </w:rPr>
            </w:pPr>
          </w:p>
        </w:tc>
      </w:tr>
      <w:tr w:rsidR="009200F7" w:rsidRPr="008816C8" w14:paraId="64EF84B6" w14:textId="77777777" w:rsidTr="0039785F">
        <w:tblPrEx>
          <w:tblCellMar>
            <w:top w:w="0" w:type="dxa"/>
            <w:bottom w:w="0" w:type="dxa"/>
          </w:tblCellMar>
        </w:tblPrEx>
        <w:tc>
          <w:tcPr>
            <w:tcW w:w="590" w:type="dxa"/>
          </w:tcPr>
          <w:p w14:paraId="2B27BF1B" w14:textId="77777777" w:rsidR="009200F7" w:rsidRPr="008816C8" w:rsidRDefault="009200F7" w:rsidP="0039785F">
            <w:pPr>
              <w:pStyle w:val="BodyText2"/>
              <w:rPr>
                <w:color w:val="auto"/>
                <w:lang w:val="en-US"/>
              </w:rPr>
            </w:pPr>
          </w:p>
        </w:tc>
        <w:tc>
          <w:tcPr>
            <w:tcW w:w="3629" w:type="dxa"/>
          </w:tcPr>
          <w:p w14:paraId="2EDB4820" w14:textId="77777777" w:rsidR="009200F7" w:rsidRPr="008816C8" w:rsidRDefault="009200F7" w:rsidP="0039785F">
            <w:pPr>
              <w:pStyle w:val="BodyText2"/>
              <w:rPr>
                <w:b w:val="0"/>
                <w:color w:val="auto"/>
                <w:lang w:val="en-US"/>
              </w:rPr>
            </w:pPr>
            <w:r w:rsidRPr="008816C8">
              <w:rPr>
                <w:color w:val="auto"/>
                <w:lang w:val="en-US"/>
              </w:rPr>
              <w:t>Monitoring and reporting</w:t>
            </w:r>
          </w:p>
        </w:tc>
        <w:tc>
          <w:tcPr>
            <w:tcW w:w="1559" w:type="dxa"/>
          </w:tcPr>
          <w:p w14:paraId="2D6ABAE2" w14:textId="77777777" w:rsidR="009200F7" w:rsidRPr="008816C8" w:rsidRDefault="009200F7" w:rsidP="0039785F">
            <w:pPr>
              <w:pStyle w:val="BodyText2"/>
              <w:rPr>
                <w:color w:val="auto"/>
                <w:lang w:val="en-US"/>
              </w:rPr>
            </w:pPr>
          </w:p>
        </w:tc>
        <w:tc>
          <w:tcPr>
            <w:tcW w:w="1560" w:type="dxa"/>
          </w:tcPr>
          <w:p w14:paraId="72903FF9" w14:textId="77777777" w:rsidR="009200F7" w:rsidRPr="008816C8" w:rsidRDefault="009200F7" w:rsidP="0039785F">
            <w:pPr>
              <w:pStyle w:val="BodyText2"/>
              <w:rPr>
                <w:color w:val="auto"/>
                <w:lang w:val="en-US"/>
              </w:rPr>
            </w:pPr>
          </w:p>
        </w:tc>
        <w:tc>
          <w:tcPr>
            <w:tcW w:w="2551" w:type="dxa"/>
          </w:tcPr>
          <w:p w14:paraId="22F3256D" w14:textId="77777777" w:rsidR="009200F7" w:rsidRPr="008816C8" w:rsidRDefault="009200F7" w:rsidP="0039785F">
            <w:pPr>
              <w:pStyle w:val="BodyText2"/>
              <w:rPr>
                <w:color w:val="auto"/>
                <w:lang w:val="en-US"/>
              </w:rPr>
            </w:pPr>
          </w:p>
        </w:tc>
      </w:tr>
      <w:tr w:rsidR="009200F7" w:rsidRPr="008816C8" w14:paraId="27884252" w14:textId="77777777" w:rsidTr="0039785F">
        <w:tblPrEx>
          <w:tblCellMar>
            <w:top w:w="0" w:type="dxa"/>
            <w:bottom w:w="0" w:type="dxa"/>
          </w:tblCellMar>
        </w:tblPrEx>
        <w:tc>
          <w:tcPr>
            <w:tcW w:w="590" w:type="dxa"/>
          </w:tcPr>
          <w:p w14:paraId="53C32A36" w14:textId="77777777" w:rsidR="009200F7" w:rsidRPr="008816C8" w:rsidRDefault="007B65F1" w:rsidP="0039785F">
            <w:pPr>
              <w:pStyle w:val="BodyText2"/>
              <w:rPr>
                <w:color w:val="auto"/>
                <w:lang w:val="en-US"/>
              </w:rPr>
            </w:pPr>
            <w:r w:rsidRPr="008816C8">
              <w:rPr>
                <w:color w:val="auto"/>
                <w:lang w:val="en-US"/>
              </w:rPr>
              <w:t>24</w:t>
            </w:r>
          </w:p>
        </w:tc>
        <w:tc>
          <w:tcPr>
            <w:tcW w:w="3629" w:type="dxa"/>
          </w:tcPr>
          <w:p w14:paraId="01372945" w14:textId="77777777" w:rsidR="009200F7" w:rsidRPr="008816C8" w:rsidRDefault="009200F7" w:rsidP="0039785F">
            <w:pPr>
              <w:pStyle w:val="BodyText2"/>
              <w:rPr>
                <w:b w:val="0"/>
                <w:color w:val="auto"/>
                <w:lang w:val="en-US"/>
              </w:rPr>
            </w:pPr>
            <w:r w:rsidRPr="008816C8">
              <w:rPr>
                <w:b w:val="0"/>
                <w:color w:val="auto"/>
                <w:lang w:val="en-US"/>
              </w:rPr>
              <w:t>Preparation of the SK INSPIRE Monitoring for 2015</w:t>
            </w:r>
            <w:r w:rsidR="00CF749E" w:rsidRPr="008816C8">
              <w:rPr>
                <w:b w:val="0"/>
                <w:color w:val="auto"/>
                <w:lang w:val="en-US"/>
              </w:rPr>
              <w:t xml:space="preserve"> - 2020</w:t>
            </w:r>
          </w:p>
          <w:p w14:paraId="3C36F2C4" w14:textId="77777777" w:rsidR="009200F7" w:rsidRPr="008816C8" w:rsidRDefault="009200F7" w:rsidP="0039785F">
            <w:pPr>
              <w:pStyle w:val="BodyText2"/>
              <w:rPr>
                <w:b w:val="0"/>
                <w:color w:val="auto"/>
                <w:lang w:val="en-US"/>
              </w:rPr>
            </w:pPr>
            <w:r w:rsidRPr="008816C8">
              <w:rPr>
                <w:b w:val="0"/>
                <w:color w:val="auto"/>
                <w:lang w:val="en-US"/>
              </w:rPr>
              <w:t>(SK INSPIRE Monitoring 2016</w:t>
            </w:r>
            <w:r w:rsidR="00CF749E" w:rsidRPr="008816C8">
              <w:rPr>
                <w:b w:val="0"/>
                <w:color w:val="auto"/>
                <w:lang w:val="en-US"/>
              </w:rPr>
              <w:t>-2021</w:t>
            </w:r>
            <w:r w:rsidRPr="008816C8">
              <w:rPr>
                <w:b w:val="0"/>
                <w:color w:val="auto"/>
                <w:lang w:val="en-US"/>
              </w:rPr>
              <w:t xml:space="preserve">) </w:t>
            </w:r>
          </w:p>
        </w:tc>
        <w:tc>
          <w:tcPr>
            <w:tcW w:w="1559" w:type="dxa"/>
          </w:tcPr>
          <w:p w14:paraId="230C139C" w14:textId="77777777" w:rsidR="009200F7" w:rsidRPr="008816C8" w:rsidRDefault="00CF749E" w:rsidP="0039785F">
            <w:pPr>
              <w:pStyle w:val="BodyText2"/>
              <w:rPr>
                <w:color w:val="auto"/>
                <w:lang w:val="en-US"/>
              </w:rPr>
            </w:pPr>
            <w:r w:rsidRPr="008816C8">
              <w:rPr>
                <w:color w:val="auto"/>
                <w:lang w:val="en-US"/>
              </w:rPr>
              <w:t>On annual basis</w:t>
            </w:r>
          </w:p>
        </w:tc>
        <w:tc>
          <w:tcPr>
            <w:tcW w:w="1560" w:type="dxa"/>
          </w:tcPr>
          <w:p w14:paraId="215914C6" w14:textId="77777777" w:rsidR="009200F7" w:rsidRPr="008816C8" w:rsidRDefault="009200F7" w:rsidP="0039785F">
            <w:pPr>
              <w:pStyle w:val="BodyText2"/>
              <w:rPr>
                <w:color w:val="auto"/>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717EC63F" w14:textId="77777777" w:rsidR="009200F7" w:rsidRPr="008816C8" w:rsidRDefault="009200F7" w:rsidP="0039785F">
            <w:pPr>
              <w:pStyle w:val="BodyText2"/>
              <w:rPr>
                <w:color w:val="auto"/>
                <w:lang w:val="en-US"/>
              </w:rPr>
            </w:pPr>
          </w:p>
        </w:tc>
      </w:tr>
      <w:tr w:rsidR="009200F7" w:rsidRPr="008816C8" w14:paraId="39A0092A" w14:textId="77777777" w:rsidTr="0039785F">
        <w:tblPrEx>
          <w:tblCellMar>
            <w:top w:w="0" w:type="dxa"/>
            <w:bottom w:w="0" w:type="dxa"/>
          </w:tblCellMar>
        </w:tblPrEx>
        <w:tc>
          <w:tcPr>
            <w:tcW w:w="590" w:type="dxa"/>
          </w:tcPr>
          <w:p w14:paraId="3164F8C4" w14:textId="77777777" w:rsidR="009200F7" w:rsidRPr="008816C8" w:rsidRDefault="007B65F1" w:rsidP="0039785F">
            <w:pPr>
              <w:pStyle w:val="BodyText2"/>
              <w:rPr>
                <w:color w:val="auto"/>
                <w:lang w:val="en-US"/>
              </w:rPr>
            </w:pPr>
            <w:r w:rsidRPr="008816C8">
              <w:rPr>
                <w:color w:val="auto"/>
                <w:lang w:val="en-US"/>
              </w:rPr>
              <w:t>25</w:t>
            </w:r>
          </w:p>
        </w:tc>
        <w:tc>
          <w:tcPr>
            <w:tcW w:w="3629" w:type="dxa"/>
          </w:tcPr>
          <w:p w14:paraId="09A83ACB" w14:textId="77777777" w:rsidR="009200F7" w:rsidRPr="008816C8" w:rsidRDefault="009200F7" w:rsidP="007B65F1">
            <w:pPr>
              <w:pStyle w:val="BodyText2"/>
              <w:rPr>
                <w:b w:val="0"/>
                <w:color w:val="auto"/>
                <w:lang w:val="en-US"/>
              </w:rPr>
            </w:pPr>
            <w:r w:rsidRPr="008816C8">
              <w:rPr>
                <w:b w:val="0"/>
                <w:color w:val="auto"/>
                <w:lang w:val="en-US"/>
              </w:rPr>
              <w:t>Preparation of the SK INSPIRE Report</w:t>
            </w:r>
            <w:r w:rsidR="007B65F1" w:rsidRPr="008816C8">
              <w:rPr>
                <w:b w:val="0"/>
                <w:color w:val="auto"/>
                <w:lang w:val="en-US"/>
              </w:rPr>
              <w:t xml:space="preserve"> 2016</w:t>
            </w:r>
            <w:r w:rsidR="00CF749E" w:rsidRPr="008816C8">
              <w:rPr>
                <w:b w:val="0"/>
                <w:color w:val="auto"/>
                <w:lang w:val="en-US"/>
              </w:rPr>
              <w:t>, 20</w:t>
            </w:r>
            <w:r w:rsidR="007B65F1" w:rsidRPr="008816C8">
              <w:rPr>
                <w:b w:val="0"/>
                <w:color w:val="auto"/>
                <w:lang w:val="en-US"/>
              </w:rPr>
              <w:t>19</w:t>
            </w:r>
            <w:r w:rsidRPr="008816C8">
              <w:rPr>
                <w:b w:val="0"/>
                <w:color w:val="auto"/>
                <w:lang w:val="en-US"/>
              </w:rPr>
              <w:t xml:space="preserve"> (SK INSPIRE Report 2016</w:t>
            </w:r>
            <w:r w:rsidR="00CF749E" w:rsidRPr="008816C8">
              <w:rPr>
                <w:b w:val="0"/>
                <w:color w:val="auto"/>
                <w:lang w:val="en-US"/>
              </w:rPr>
              <w:t>, 20</w:t>
            </w:r>
            <w:r w:rsidR="007B65F1" w:rsidRPr="008816C8">
              <w:rPr>
                <w:b w:val="0"/>
                <w:color w:val="auto"/>
                <w:lang w:val="en-US"/>
              </w:rPr>
              <w:t>19</w:t>
            </w:r>
            <w:r w:rsidRPr="008816C8">
              <w:rPr>
                <w:b w:val="0"/>
                <w:color w:val="auto"/>
                <w:lang w:val="en-US"/>
              </w:rPr>
              <w:t>)</w:t>
            </w:r>
          </w:p>
        </w:tc>
        <w:tc>
          <w:tcPr>
            <w:tcW w:w="1559" w:type="dxa"/>
          </w:tcPr>
          <w:p w14:paraId="15E42B15" w14:textId="77777777" w:rsidR="009200F7" w:rsidRPr="008816C8" w:rsidRDefault="009200F7" w:rsidP="0039785F">
            <w:pPr>
              <w:pStyle w:val="BodyText2"/>
              <w:rPr>
                <w:color w:val="auto"/>
                <w:lang w:val="en-US"/>
              </w:rPr>
            </w:pPr>
            <w:r w:rsidRPr="008816C8">
              <w:rPr>
                <w:color w:val="auto"/>
                <w:lang w:val="en-US"/>
              </w:rPr>
              <w:t>2016</w:t>
            </w:r>
            <w:r w:rsidR="007B65F1" w:rsidRPr="008816C8">
              <w:rPr>
                <w:color w:val="auto"/>
                <w:lang w:val="en-US"/>
              </w:rPr>
              <w:t>, 2019</w:t>
            </w:r>
          </w:p>
        </w:tc>
        <w:tc>
          <w:tcPr>
            <w:tcW w:w="1560" w:type="dxa"/>
          </w:tcPr>
          <w:p w14:paraId="6D5573FB" w14:textId="77777777" w:rsidR="009200F7" w:rsidRPr="008816C8" w:rsidRDefault="009200F7" w:rsidP="0039785F">
            <w:pPr>
              <w:pStyle w:val="BodyText2"/>
              <w:rPr>
                <w:color w:val="auto"/>
                <w:lang w:val="en-US"/>
              </w:rPr>
            </w:pPr>
            <w:proofErr w:type="spellStart"/>
            <w:r w:rsidRPr="008816C8">
              <w:rPr>
                <w:b w:val="0"/>
                <w:color w:val="auto"/>
                <w:lang w:val="en-US"/>
              </w:rPr>
              <w:t>MoE</w:t>
            </w:r>
            <w:proofErr w:type="spellEnd"/>
            <w:r w:rsidRPr="008816C8">
              <w:rPr>
                <w:b w:val="0"/>
                <w:color w:val="auto"/>
                <w:lang w:val="en-US"/>
              </w:rPr>
              <w:t xml:space="preserve"> SR / KR NIPI members</w:t>
            </w:r>
          </w:p>
        </w:tc>
        <w:tc>
          <w:tcPr>
            <w:tcW w:w="2551" w:type="dxa"/>
          </w:tcPr>
          <w:p w14:paraId="024F5C99" w14:textId="77777777" w:rsidR="009200F7" w:rsidRPr="008816C8" w:rsidRDefault="009200F7" w:rsidP="0039785F">
            <w:pPr>
              <w:pStyle w:val="BodyText2"/>
              <w:rPr>
                <w:color w:val="auto"/>
                <w:lang w:val="en-US"/>
              </w:rPr>
            </w:pPr>
          </w:p>
        </w:tc>
      </w:tr>
    </w:tbl>
    <w:p w14:paraId="4B8C50D9" w14:textId="77777777" w:rsidR="009200F7" w:rsidRPr="008816C8" w:rsidRDefault="009200F7" w:rsidP="009200F7">
      <w:pPr>
        <w:pStyle w:val="BodyText2"/>
        <w:jc w:val="left"/>
        <w:rPr>
          <w:color w:val="auto"/>
          <w:lang w:val="en-US"/>
        </w:rPr>
      </w:pPr>
      <w:r w:rsidRPr="008816C8">
        <w:rPr>
          <w:color w:val="auto"/>
          <w:lang w:val="en-US"/>
        </w:rPr>
        <w:t>Notes:</w:t>
      </w:r>
      <w:r w:rsidR="006F212A">
        <w:rPr>
          <w:color w:val="auto"/>
          <w:lang w:val="en-US"/>
        </w:rPr>
        <w:t xml:space="preserve"> KR NIPI is currently represented by the following </w:t>
      </w:r>
      <w:r w:rsidR="006F212A" w:rsidRPr="006F212A">
        <w:rPr>
          <w:color w:val="auto"/>
          <w:lang w:val="en-US"/>
        </w:rPr>
        <w:t>the main central authorities</w:t>
      </w:r>
      <w:r w:rsidR="006F212A">
        <w:rPr>
          <w:color w:val="auto"/>
          <w:lang w:val="en-US"/>
        </w:rPr>
        <w:t>:</w:t>
      </w:r>
    </w:p>
    <w:tbl>
      <w:tblPr>
        <w:tblW w:w="9796" w:type="dxa"/>
        <w:tblInd w:w="55" w:type="dxa"/>
        <w:tblCellMar>
          <w:left w:w="70" w:type="dxa"/>
          <w:right w:w="70" w:type="dxa"/>
        </w:tblCellMar>
        <w:tblLook w:val="04A0" w:firstRow="1" w:lastRow="0" w:firstColumn="1" w:lastColumn="0" w:noHBand="0" w:noVBand="1"/>
      </w:tblPr>
      <w:tblGrid>
        <w:gridCol w:w="8662"/>
        <w:gridCol w:w="1134"/>
      </w:tblGrid>
      <w:tr w:rsidR="009200F7" w:rsidRPr="008816C8" w14:paraId="08653E32" w14:textId="77777777" w:rsidTr="0039785F">
        <w:trPr>
          <w:trHeight w:val="340"/>
        </w:trPr>
        <w:tc>
          <w:tcPr>
            <w:tcW w:w="8662" w:type="dxa"/>
            <w:tcBorders>
              <w:top w:val="single" w:sz="8" w:space="0" w:color="FFFFFF"/>
              <w:left w:val="single" w:sz="8" w:space="0" w:color="FFFFFF"/>
              <w:bottom w:val="single" w:sz="8" w:space="0" w:color="FFFFFF"/>
              <w:right w:val="single" w:sz="8" w:space="0" w:color="FFFFFF"/>
            </w:tcBorders>
            <w:shd w:val="clear" w:color="000000" w:fill="EAEFF7"/>
            <w:vAlign w:val="bottom"/>
            <w:hideMark/>
          </w:tcPr>
          <w:p w14:paraId="61067557"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 xml:space="preserve">Ministry of Agriculture and Rural Development of the Slovak Republic </w:t>
            </w:r>
          </w:p>
        </w:tc>
        <w:tc>
          <w:tcPr>
            <w:tcW w:w="1134" w:type="dxa"/>
            <w:tcBorders>
              <w:top w:val="single" w:sz="8" w:space="0" w:color="FFFFFF"/>
              <w:left w:val="nil"/>
              <w:bottom w:val="single" w:sz="8" w:space="0" w:color="FFFFFF"/>
              <w:right w:val="single" w:sz="8" w:space="0" w:color="FFFFFF"/>
            </w:tcBorders>
            <w:shd w:val="clear" w:color="000000" w:fill="EAEFF7"/>
            <w:vAlign w:val="center"/>
            <w:hideMark/>
          </w:tcPr>
          <w:p w14:paraId="4FD062A5"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MoA</w:t>
            </w:r>
            <w:proofErr w:type="spellEnd"/>
            <w:r w:rsidRPr="008816C8">
              <w:rPr>
                <w:rFonts w:ascii="Times New Roman" w:eastAsia="Times New Roman" w:hAnsi="Times New Roman" w:cs="Times New Roman"/>
                <w:color w:val="000000"/>
                <w:szCs w:val="20"/>
                <w:lang w:val="en-US" w:eastAsia="sk-SK"/>
              </w:rPr>
              <w:t xml:space="preserve"> </w:t>
            </w:r>
          </w:p>
        </w:tc>
      </w:tr>
      <w:tr w:rsidR="009200F7" w:rsidRPr="008816C8" w14:paraId="7A0BFCE9" w14:textId="77777777" w:rsidTr="0039785F">
        <w:trPr>
          <w:trHeight w:val="340"/>
        </w:trPr>
        <w:tc>
          <w:tcPr>
            <w:tcW w:w="8662" w:type="dxa"/>
            <w:tcBorders>
              <w:top w:val="single" w:sz="12" w:space="0" w:color="FFFFFF"/>
              <w:left w:val="single" w:sz="8" w:space="0" w:color="FFFFFF"/>
              <w:bottom w:val="single" w:sz="8" w:space="0" w:color="FFFFFF"/>
              <w:right w:val="single" w:sz="8" w:space="0" w:color="FFFFFF"/>
            </w:tcBorders>
            <w:shd w:val="clear" w:color="000000" w:fill="D2DEEF"/>
            <w:vAlign w:val="bottom"/>
            <w:hideMark/>
          </w:tcPr>
          <w:p w14:paraId="2F0FA702"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 xml:space="preserve">Ministry of Culture of the Slovak Republic </w:t>
            </w:r>
          </w:p>
        </w:tc>
        <w:tc>
          <w:tcPr>
            <w:tcW w:w="1134" w:type="dxa"/>
            <w:tcBorders>
              <w:top w:val="single" w:sz="12" w:space="0" w:color="FFFFFF"/>
              <w:left w:val="nil"/>
              <w:bottom w:val="single" w:sz="8" w:space="0" w:color="FFFFFF"/>
              <w:right w:val="single" w:sz="8" w:space="0" w:color="FFFFFF"/>
            </w:tcBorders>
            <w:shd w:val="clear" w:color="000000" w:fill="D2DEEF"/>
            <w:vAlign w:val="center"/>
            <w:hideMark/>
          </w:tcPr>
          <w:p w14:paraId="0686BCF7"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MoC</w:t>
            </w:r>
            <w:proofErr w:type="spellEnd"/>
            <w:r w:rsidRPr="008816C8">
              <w:rPr>
                <w:rFonts w:ascii="Times New Roman" w:eastAsia="Times New Roman" w:hAnsi="Times New Roman" w:cs="Times New Roman"/>
                <w:color w:val="000000"/>
                <w:szCs w:val="20"/>
                <w:lang w:val="en-US" w:eastAsia="sk-SK"/>
              </w:rPr>
              <w:t xml:space="preserve"> </w:t>
            </w:r>
          </w:p>
        </w:tc>
      </w:tr>
      <w:tr w:rsidR="009200F7" w:rsidRPr="008816C8" w14:paraId="26952259"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EAEFF7"/>
            <w:vAlign w:val="bottom"/>
            <w:hideMark/>
          </w:tcPr>
          <w:p w14:paraId="38F264CA"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 xml:space="preserve">Ministry of </w:t>
            </w:r>
            <w:proofErr w:type="spellStart"/>
            <w:r w:rsidRPr="008816C8">
              <w:rPr>
                <w:rFonts w:ascii="Times New Roman" w:eastAsia="Times New Roman" w:hAnsi="Times New Roman" w:cs="Times New Roman"/>
                <w:color w:val="000000"/>
                <w:szCs w:val="20"/>
                <w:lang w:val="en-US" w:eastAsia="sk-SK"/>
              </w:rPr>
              <w:t>Defence</w:t>
            </w:r>
            <w:proofErr w:type="spellEnd"/>
            <w:r w:rsidRPr="008816C8">
              <w:rPr>
                <w:rFonts w:ascii="Times New Roman" w:eastAsia="Times New Roman" w:hAnsi="Times New Roman" w:cs="Times New Roman"/>
                <w:color w:val="000000"/>
                <w:szCs w:val="20"/>
                <w:lang w:val="en-US" w:eastAsia="sk-SK"/>
              </w:rPr>
              <w:t xml:space="preserve"> of Slovak republic</w:t>
            </w:r>
          </w:p>
        </w:tc>
        <w:tc>
          <w:tcPr>
            <w:tcW w:w="1134" w:type="dxa"/>
            <w:tcBorders>
              <w:top w:val="nil"/>
              <w:left w:val="nil"/>
              <w:bottom w:val="single" w:sz="8" w:space="0" w:color="FFFFFF"/>
              <w:right w:val="single" w:sz="8" w:space="0" w:color="FFFFFF"/>
            </w:tcBorders>
            <w:shd w:val="clear" w:color="000000" w:fill="EAEFF7"/>
            <w:vAlign w:val="center"/>
            <w:hideMark/>
          </w:tcPr>
          <w:p w14:paraId="461173D2"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MoD</w:t>
            </w:r>
            <w:proofErr w:type="spellEnd"/>
            <w:r w:rsidRPr="008816C8">
              <w:rPr>
                <w:rFonts w:ascii="Times New Roman" w:eastAsia="Times New Roman" w:hAnsi="Times New Roman" w:cs="Times New Roman"/>
                <w:color w:val="000000"/>
                <w:szCs w:val="20"/>
                <w:lang w:val="en-US" w:eastAsia="sk-SK"/>
              </w:rPr>
              <w:t xml:space="preserve"> </w:t>
            </w:r>
          </w:p>
        </w:tc>
      </w:tr>
      <w:tr w:rsidR="009200F7" w:rsidRPr="008816C8" w14:paraId="6A960A2F"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D2DEEF"/>
            <w:vAlign w:val="bottom"/>
            <w:hideMark/>
          </w:tcPr>
          <w:p w14:paraId="425368C1"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 xml:space="preserve">Ministry of Economy of the Slovak Republic </w:t>
            </w:r>
          </w:p>
        </w:tc>
        <w:tc>
          <w:tcPr>
            <w:tcW w:w="1134" w:type="dxa"/>
            <w:tcBorders>
              <w:top w:val="nil"/>
              <w:left w:val="nil"/>
              <w:bottom w:val="single" w:sz="8" w:space="0" w:color="FFFFFF"/>
              <w:right w:val="single" w:sz="8" w:space="0" w:color="FFFFFF"/>
            </w:tcBorders>
            <w:shd w:val="clear" w:color="000000" w:fill="D2DEEF"/>
            <w:vAlign w:val="center"/>
            <w:hideMark/>
          </w:tcPr>
          <w:p w14:paraId="14E68557"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MoEC</w:t>
            </w:r>
            <w:proofErr w:type="spellEnd"/>
            <w:r w:rsidRPr="008816C8">
              <w:rPr>
                <w:rFonts w:ascii="Times New Roman" w:eastAsia="Times New Roman" w:hAnsi="Times New Roman" w:cs="Times New Roman"/>
                <w:color w:val="000000"/>
                <w:szCs w:val="20"/>
                <w:lang w:val="en-US" w:eastAsia="sk-SK"/>
              </w:rPr>
              <w:t xml:space="preserve"> </w:t>
            </w:r>
          </w:p>
        </w:tc>
      </w:tr>
      <w:tr w:rsidR="009200F7" w:rsidRPr="008816C8" w14:paraId="11EA9F78"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EAEFF7"/>
            <w:vAlign w:val="bottom"/>
            <w:hideMark/>
          </w:tcPr>
          <w:p w14:paraId="19119407"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Ministry of Education, Science, Research and Sport of the Slovak Republic</w:t>
            </w:r>
          </w:p>
        </w:tc>
        <w:tc>
          <w:tcPr>
            <w:tcW w:w="1134" w:type="dxa"/>
            <w:tcBorders>
              <w:top w:val="nil"/>
              <w:left w:val="nil"/>
              <w:bottom w:val="single" w:sz="8" w:space="0" w:color="FFFFFF"/>
              <w:right w:val="single" w:sz="8" w:space="0" w:color="FFFFFF"/>
            </w:tcBorders>
            <w:shd w:val="clear" w:color="000000" w:fill="EAEFF7"/>
            <w:vAlign w:val="center"/>
            <w:hideMark/>
          </w:tcPr>
          <w:p w14:paraId="52689A0C"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MoED</w:t>
            </w:r>
            <w:proofErr w:type="spellEnd"/>
            <w:r w:rsidRPr="008816C8">
              <w:rPr>
                <w:rFonts w:ascii="Times New Roman" w:eastAsia="Times New Roman" w:hAnsi="Times New Roman" w:cs="Times New Roman"/>
                <w:color w:val="000000"/>
                <w:szCs w:val="20"/>
                <w:lang w:val="en-US" w:eastAsia="sk-SK"/>
              </w:rPr>
              <w:t xml:space="preserve"> </w:t>
            </w:r>
          </w:p>
        </w:tc>
      </w:tr>
      <w:tr w:rsidR="009200F7" w:rsidRPr="008816C8" w14:paraId="0C9D706B"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D2DEEF"/>
            <w:vAlign w:val="bottom"/>
            <w:hideMark/>
          </w:tcPr>
          <w:p w14:paraId="70F481A7"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Ministry of Environment of the Slovak Republic</w:t>
            </w:r>
          </w:p>
        </w:tc>
        <w:tc>
          <w:tcPr>
            <w:tcW w:w="1134" w:type="dxa"/>
            <w:tcBorders>
              <w:top w:val="nil"/>
              <w:left w:val="nil"/>
              <w:bottom w:val="single" w:sz="8" w:space="0" w:color="FFFFFF"/>
              <w:right w:val="single" w:sz="8" w:space="0" w:color="FFFFFF"/>
            </w:tcBorders>
            <w:shd w:val="clear" w:color="000000" w:fill="D2DEEF"/>
            <w:vAlign w:val="center"/>
            <w:hideMark/>
          </w:tcPr>
          <w:p w14:paraId="6F1ED34F"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MoE</w:t>
            </w:r>
            <w:proofErr w:type="spellEnd"/>
          </w:p>
        </w:tc>
      </w:tr>
      <w:tr w:rsidR="009200F7" w:rsidRPr="008816C8" w14:paraId="55A02E81"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EAEFF7"/>
            <w:vAlign w:val="bottom"/>
            <w:hideMark/>
          </w:tcPr>
          <w:p w14:paraId="0EEE6FF2"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 xml:space="preserve">Ministry of </w:t>
            </w:r>
            <w:proofErr w:type="spellStart"/>
            <w:r w:rsidRPr="008816C8">
              <w:rPr>
                <w:rFonts w:ascii="Times New Roman" w:eastAsia="Times New Roman" w:hAnsi="Times New Roman" w:cs="Times New Roman"/>
                <w:color w:val="000000"/>
                <w:szCs w:val="20"/>
                <w:lang w:val="en-US" w:eastAsia="sk-SK"/>
              </w:rPr>
              <w:t>of</w:t>
            </w:r>
            <w:proofErr w:type="spellEnd"/>
            <w:r w:rsidRPr="008816C8">
              <w:rPr>
                <w:rFonts w:ascii="Times New Roman" w:eastAsia="Times New Roman" w:hAnsi="Times New Roman" w:cs="Times New Roman"/>
                <w:color w:val="000000"/>
                <w:szCs w:val="20"/>
                <w:lang w:val="en-US" w:eastAsia="sk-SK"/>
              </w:rPr>
              <w:t xml:space="preserve"> Finance of the Slovak Republic</w:t>
            </w:r>
          </w:p>
        </w:tc>
        <w:tc>
          <w:tcPr>
            <w:tcW w:w="1134" w:type="dxa"/>
            <w:tcBorders>
              <w:top w:val="nil"/>
              <w:left w:val="nil"/>
              <w:bottom w:val="single" w:sz="8" w:space="0" w:color="FFFFFF"/>
              <w:right w:val="single" w:sz="8" w:space="0" w:color="FFFFFF"/>
            </w:tcBorders>
            <w:shd w:val="clear" w:color="000000" w:fill="EAEFF7"/>
            <w:vAlign w:val="center"/>
            <w:hideMark/>
          </w:tcPr>
          <w:p w14:paraId="6C495DCB"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MoF</w:t>
            </w:r>
            <w:proofErr w:type="spellEnd"/>
          </w:p>
        </w:tc>
      </w:tr>
      <w:tr w:rsidR="009200F7" w:rsidRPr="008816C8" w14:paraId="069894CE"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D2DEEF"/>
            <w:vAlign w:val="bottom"/>
            <w:hideMark/>
          </w:tcPr>
          <w:p w14:paraId="7D24EB25"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Geodesy, Cartography and Cadastre Authority of Slovak Republic</w:t>
            </w:r>
          </w:p>
        </w:tc>
        <w:tc>
          <w:tcPr>
            <w:tcW w:w="1134" w:type="dxa"/>
            <w:tcBorders>
              <w:top w:val="nil"/>
              <w:left w:val="nil"/>
              <w:bottom w:val="single" w:sz="8" w:space="0" w:color="FFFFFF"/>
              <w:right w:val="single" w:sz="8" w:space="0" w:color="FFFFFF"/>
            </w:tcBorders>
            <w:shd w:val="clear" w:color="000000" w:fill="D2DEEF"/>
            <w:vAlign w:val="center"/>
            <w:hideMark/>
          </w:tcPr>
          <w:p w14:paraId="0C5DD3F2"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GCCA</w:t>
            </w:r>
          </w:p>
        </w:tc>
      </w:tr>
      <w:tr w:rsidR="009200F7" w:rsidRPr="008816C8" w14:paraId="492A5999"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EAEFF7"/>
            <w:vAlign w:val="bottom"/>
            <w:hideMark/>
          </w:tcPr>
          <w:p w14:paraId="2691448E"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Ministry of Interior of the Slovak Republic</w:t>
            </w:r>
          </w:p>
        </w:tc>
        <w:tc>
          <w:tcPr>
            <w:tcW w:w="1134" w:type="dxa"/>
            <w:tcBorders>
              <w:top w:val="nil"/>
              <w:left w:val="nil"/>
              <w:bottom w:val="single" w:sz="8" w:space="0" w:color="FFFFFF"/>
              <w:right w:val="single" w:sz="8" w:space="0" w:color="FFFFFF"/>
            </w:tcBorders>
            <w:shd w:val="clear" w:color="000000" w:fill="EAEFF7"/>
            <w:vAlign w:val="center"/>
            <w:hideMark/>
          </w:tcPr>
          <w:p w14:paraId="2DFFCB63"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MoI</w:t>
            </w:r>
            <w:proofErr w:type="spellEnd"/>
          </w:p>
        </w:tc>
      </w:tr>
      <w:tr w:rsidR="009200F7" w:rsidRPr="008816C8" w14:paraId="40FFAC64"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D2DEEF"/>
            <w:vAlign w:val="bottom"/>
            <w:hideMark/>
          </w:tcPr>
          <w:p w14:paraId="78BC2B1B"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Ministry of Health of Slovak Republic</w:t>
            </w:r>
          </w:p>
        </w:tc>
        <w:tc>
          <w:tcPr>
            <w:tcW w:w="1134" w:type="dxa"/>
            <w:tcBorders>
              <w:top w:val="nil"/>
              <w:left w:val="nil"/>
              <w:bottom w:val="single" w:sz="8" w:space="0" w:color="FFFFFF"/>
              <w:right w:val="single" w:sz="8" w:space="0" w:color="FFFFFF"/>
            </w:tcBorders>
            <w:shd w:val="clear" w:color="000000" w:fill="D2DEEF"/>
            <w:vAlign w:val="center"/>
            <w:hideMark/>
          </w:tcPr>
          <w:p w14:paraId="65CE938E"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MoA</w:t>
            </w:r>
            <w:proofErr w:type="spellEnd"/>
            <w:r w:rsidRPr="008816C8">
              <w:rPr>
                <w:rFonts w:ascii="Times New Roman" w:eastAsia="Times New Roman" w:hAnsi="Times New Roman" w:cs="Times New Roman"/>
                <w:color w:val="000000"/>
                <w:szCs w:val="20"/>
                <w:lang w:val="en-US" w:eastAsia="sk-SK"/>
              </w:rPr>
              <w:t xml:space="preserve"> </w:t>
            </w:r>
          </w:p>
        </w:tc>
      </w:tr>
      <w:tr w:rsidR="009200F7" w:rsidRPr="008816C8" w14:paraId="7AAD6F0E"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EAEFF7"/>
            <w:vAlign w:val="bottom"/>
            <w:hideMark/>
          </w:tcPr>
          <w:p w14:paraId="2B855132"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 xml:space="preserve">Statistical Office of the Slovak Republic </w:t>
            </w:r>
          </w:p>
        </w:tc>
        <w:tc>
          <w:tcPr>
            <w:tcW w:w="1134" w:type="dxa"/>
            <w:tcBorders>
              <w:top w:val="nil"/>
              <w:left w:val="nil"/>
              <w:bottom w:val="single" w:sz="8" w:space="0" w:color="FFFFFF"/>
              <w:right w:val="single" w:sz="8" w:space="0" w:color="FFFFFF"/>
            </w:tcBorders>
            <w:shd w:val="clear" w:color="000000" w:fill="EAEFF7"/>
            <w:vAlign w:val="center"/>
            <w:hideMark/>
          </w:tcPr>
          <w:p w14:paraId="3488AEFA"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 xml:space="preserve">SO </w:t>
            </w:r>
          </w:p>
        </w:tc>
      </w:tr>
      <w:tr w:rsidR="009200F7" w:rsidRPr="008816C8" w14:paraId="272C14E7"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D2DEEF"/>
            <w:vAlign w:val="bottom"/>
            <w:hideMark/>
          </w:tcPr>
          <w:p w14:paraId="6A8A5BCD"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Ministry of Transport, Construction and Regional Development of the Slovak Republic</w:t>
            </w:r>
          </w:p>
        </w:tc>
        <w:tc>
          <w:tcPr>
            <w:tcW w:w="1134" w:type="dxa"/>
            <w:tcBorders>
              <w:top w:val="nil"/>
              <w:left w:val="nil"/>
              <w:bottom w:val="single" w:sz="8" w:space="0" w:color="FFFFFF"/>
              <w:right w:val="single" w:sz="8" w:space="0" w:color="FFFFFF"/>
            </w:tcBorders>
            <w:shd w:val="clear" w:color="000000" w:fill="D2DEEF"/>
            <w:vAlign w:val="center"/>
            <w:hideMark/>
          </w:tcPr>
          <w:p w14:paraId="58F0C114"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MoT</w:t>
            </w:r>
            <w:proofErr w:type="spellEnd"/>
            <w:r w:rsidRPr="008816C8">
              <w:rPr>
                <w:rFonts w:ascii="Times New Roman" w:eastAsia="Times New Roman" w:hAnsi="Times New Roman" w:cs="Times New Roman"/>
                <w:color w:val="000000"/>
                <w:szCs w:val="20"/>
                <w:lang w:val="en-US" w:eastAsia="sk-SK"/>
              </w:rPr>
              <w:t xml:space="preserve"> </w:t>
            </w:r>
          </w:p>
        </w:tc>
      </w:tr>
      <w:tr w:rsidR="009200F7" w:rsidRPr="008816C8" w14:paraId="5A13E577" w14:textId="77777777" w:rsidTr="0039785F">
        <w:trPr>
          <w:trHeight w:val="340"/>
        </w:trPr>
        <w:tc>
          <w:tcPr>
            <w:tcW w:w="8662" w:type="dxa"/>
            <w:tcBorders>
              <w:top w:val="nil"/>
              <w:left w:val="single" w:sz="8" w:space="0" w:color="FFFFFF"/>
              <w:bottom w:val="single" w:sz="8" w:space="0" w:color="FFFFFF"/>
              <w:right w:val="single" w:sz="8" w:space="0" w:color="FFFFFF"/>
            </w:tcBorders>
            <w:shd w:val="clear" w:color="000000" w:fill="EAEFF7"/>
            <w:vAlign w:val="bottom"/>
            <w:hideMark/>
          </w:tcPr>
          <w:p w14:paraId="612AA653" w14:textId="77777777" w:rsidR="009200F7" w:rsidRPr="008816C8" w:rsidRDefault="009200F7" w:rsidP="0039785F">
            <w:pPr>
              <w:rPr>
                <w:rFonts w:ascii="Times New Roman" w:eastAsia="Times New Roman" w:hAnsi="Times New Roman" w:cs="Times New Roman"/>
                <w:color w:val="000000"/>
                <w:szCs w:val="20"/>
                <w:lang w:val="en-US" w:eastAsia="sk-SK"/>
              </w:rPr>
            </w:pPr>
            <w:r w:rsidRPr="008816C8">
              <w:rPr>
                <w:rFonts w:ascii="Times New Roman" w:eastAsia="Times New Roman" w:hAnsi="Times New Roman" w:cs="Times New Roman"/>
                <w:color w:val="000000"/>
                <w:szCs w:val="20"/>
                <w:lang w:val="en-US" w:eastAsia="sk-SK"/>
              </w:rPr>
              <w:t xml:space="preserve">Association of Towns and Communities of Slovakia  </w:t>
            </w:r>
          </w:p>
        </w:tc>
        <w:tc>
          <w:tcPr>
            <w:tcW w:w="1134" w:type="dxa"/>
            <w:tcBorders>
              <w:top w:val="nil"/>
              <w:left w:val="nil"/>
              <w:bottom w:val="single" w:sz="8" w:space="0" w:color="FFFFFF"/>
              <w:right w:val="single" w:sz="8" w:space="0" w:color="FFFFFF"/>
            </w:tcBorders>
            <w:shd w:val="clear" w:color="000000" w:fill="EAEFF7"/>
            <w:vAlign w:val="center"/>
            <w:hideMark/>
          </w:tcPr>
          <w:p w14:paraId="3C3BB823" w14:textId="77777777" w:rsidR="009200F7" w:rsidRPr="008816C8" w:rsidRDefault="009200F7" w:rsidP="0039785F">
            <w:pPr>
              <w:ind w:firstLineChars="100" w:firstLine="200"/>
              <w:rPr>
                <w:rFonts w:ascii="Times New Roman" w:eastAsia="Times New Roman" w:hAnsi="Times New Roman" w:cs="Times New Roman"/>
                <w:color w:val="000000"/>
                <w:szCs w:val="20"/>
                <w:lang w:val="en-US" w:eastAsia="sk-SK"/>
              </w:rPr>
            </w:pPr>
            <w:proofErr w:type="spellStart"/>
            <w:r w:rsidRPr="008816C8">
              <w:rPr>
                <w:rFonts w:ascii="Times New Roman" w:eastAsia="Times New Roman" w:hAnsi="Times New Roman" w:cs="Times New Roman"/>
                <w:color w:val="000000"/>
                <w:szCs w:val="20"/>
                <w:lang w:val="en-US" w:eastAsia="sk-SK"/>
              </w:rPr>
              <w:t>AoT</w:t>
            </w:r>
            <w:proofErr w:type="spellEnd"/>
            <w:r w:rsidRPr="008816C8">
              <w:rPr>
                <w:rFonts w:ascii="Times New Roman" w:eastAsia="Times New Roman" w:hAnsi="Times New Roman" w:cs="Times New Roman"/>
                <w:color w:val="000000"/>
                <w:szCs w:val="20"/>
                <w:lang w:val="en-US" w:eastAsia="sk-SK"/>
              </w:rPr>
              <w:t xml:space="preserve"> </w:t>
            </w:r>
          </w:p>
        </w:tc>
      </w:tr>
    </w:tbl>
    <w:p w14:paraId="4856DC66" w14:textId="77777777" w:rsidR="009200F7" w:rsidRPr="008816C8" w:rsidRDefault="009200F7" w:rsidP="00CE5941">
      <w:pPr>
        <w:pStyle w:val="BodyText2"/>
        <w:jc w:val="left"/>
        <w:rPr>
          <w:color w:val="auto"/>
          <w:lang w:val="en-US"/>
        </w:rPr>
      </w:pPr>
    </w:p>
    <w:sectPr w:rsidR="009200F7" w:rsidRPr="008816C8" w:rsidSect="009676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8A0" w14:textId="77777777" w:rsidR="00E34EC2" w:rsidRDefault="00E34EC2" w:rsidP="009200F7">
      <w:r>
        <w:separator/>
      </w:r>
    </w:p>
  </w:endnote>
  <w:endnote w:type="continuationSeparator" w:id="0">
    <w:p w14:paraId="61AE3FA7" w14:textId="77777777" w:rsidR="00E34EC2" w:rsidRDefault="00E34EC2" w:rsidP="0092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w:altName w:val="Segoe UI"/>
    <w:charset w:val="00"/>
    <w:family w:val="swiss"/>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2505" w14:textId="77777777" w:rsidR="00E34EC2" w:rsidRDefault="00E34EC2" w:rsidP="009200F7">
      <w:r>
        <w:separator/>
      </w:r>
    </w:p>
  </w:footnote>
  <w:footnote w:type="continuationSeparator" w:id="0">
    <w:p w14:paraId="7DDAB038" w14:textId="77777777" w:rsidR="00E34EC2" w:rsidRDefault="00E34EC2" w:rsidP="009200F7">
      <w:r>
        <w:continuationSeparator/>
      </w:r>
    </w:p>
  </w:footnote>
  <w:footnote w:id="1">
    <w:p w14:paraId="66D23EEB" w14:textId="77777777" w:rsidR="00DB076C" w:rsidRDefault="00DB076C">
      <w:pPr>
        <w:pStyle w:val="FootnoteText"/>
      </w:pPr>
      <w:r>
        <w:rPr>
          <w:rStyle w:val="FootnoteReference"/>
        </w:rPr>
        <w:footnoteRef/>
      </w:r>
      <w:r>
        <w:t xml:space="preserve"> </w:t>
      </w:r>
      <w:r w:rsidRPr="00DB076C">
        <w:rPr>
          <w:rFonts w:ascii="Times New Roman" w:hAnsi="Times New Roman" w:cs="Times New Roman"/>
        </w:rPr>
        <w:t>https://ies-svn.jrc.ec.europa.eu/issues/2741</w:t>
      </w:r>
    </w:p>
  </w:footnote>
  <w:footnote w:id="2">
    <w:p w14:paraId="2AC49B68" w14:textId="77777777" w:rsidR="009200F7" w:rsidRPr="00A10D31" w:rsidRDefault="009200F7" w:rsidP="009200F7">
      <w:pPr>
        <w:pStyle w:val="FootnoteText"/>
        <w:rPr>
          <w:rFonts w:ascii="Times New Roman" w:hAnsi="Times New Roman" w:cs="Times New Roman"/>
        </w:rPr>
      </w:pPr>
      <w:r w:rsidRPr="00A10D31">
        <w:rPr>
          <w:rStyle w:val="FootnoteReference"/>
          <w:rFonts w:ascii="Times New Roman" w:hAnsi="Times New Roman" w:cs="Times New Roman"/>
        </w:rPr>
        <w:footnoteRef/>
      </w:r>
      <w:r w:rsidRPr="00A10D31">
        <w:rPr>
          <w:rFonts w:ascii="Times New Roman" w:hAnsi="Times New Roman" w:cs="Times New Roman"/>
        </w:rPr>
        <w:t xml:space="preserve"> </w:t>
      </w:r>
      <w:r w:rsidRPr="00A10D31">
        <w:rPr>
          <w:rFonts w:ascii="Times New Roman" w:hAnsi="Times New Roman" w:cs="Times New Roman"/>
          <w:lang w:val="en-US"/>
        </w:rPr>
        <w:t>http://inspire.enviroportal.sk/</w:t>
      </w:r>
      <w:r w:rsidRPr="00A10D31">
        <w:rPr>
          <w:rFonts w:ascii="Times New Roman" w:hAnsi="Times New Roman" w:cs="Times New Roman"/>
          <w:b/>
          <w:lang w:val="en-US"/>
        </w:rPr>
        <w:t xml:space="preserve"> </w:t>
      </w:r>
    </w:p>
  </w:footnote>
  <w:footnote w:id="3">
    <w:p w14:paraId="538ABD0C" w14:textId="77777777" w:rsidR="009200F7" w:rsidRPr="00A10D31" w:rsidRDefault="009200F7" w:rsidP="009200F7">
      <w:pPr>
        <w:pStyle w:val="FootnoteText"/>
        <w:rPr>
          <w:rFonts w:ascii="Times New Roman" w:hAnsi="Times New Roman" w:cs="Times New Roman"/>
        </w:rPr>
      </w:pPr>
      <w:r w:rsidRPr="00A10D31">
        <w:rPr>
          <w:rStyle w:val="FootnoteReference"/>
          <w:rFonts w:ascii="Times New Roman" w:hAnsi="Times New Roman" w:cs="Times New Roman"/>
        </w:rPr>
        <w:footnoteRef/>
      </w:r>
      <w:r w:rsidRPr="00A10D31">
        <w:rPr>
          <w:rFonts w:ascii="Times New Roman" w:hAnsi="Times New Roman" w:cs="Times New Roman"/>
        </w:rPr>
        <w:t xml:space="preserve"> http://www.minv.sk/?ros_od </w:t>
      </w:r>
    </w:p>
  </w:footnote>
  <w:footnote w:id="4">
    <w:p w14:paraId="0C834E27" w14:textId="77777777" w:rsidR="009200F7" w:rsidRDefault="009200F7" w:rsidP="009200F7">
      <w:pPr>
        <w:pStyle w:val="FootnoteText"/>
      </w:pPr>
      <w:r w:rsidRPr="00A10D31">
        <w:rPr>
          <w:rStyle w:val="FootnoteReference"/>
          <w:rFonts w:ascii="Times New Roman" w:hAnsi="Times New Roman" w:cs="Times New Roman"/>
        </w:rPr>
        <w:footnoteRef/>
      </w:r>
      <w:r w:rsidRPr="00A10D31">
        <w:rPr>
          <w:rFonts w:ascii="Times New Roman" w:hAnsi="Times New Roman" w:cs="Times New Roman"/>
        </w:rPr>
        <w:t xml:space="preserve"> http://inspire.enviroportal.sk/povinne_osoby/</w:t>
      </w:r>
    </w:p>
  </w:footnote>
  <w:footnote w:id="5">
    <w:p w14:paraId="2459EB03" w14:textId="77777777" w:rsidR="00E970E3" w:rsidRDefault="00E970E3">
      <w:pPr>
        <w:pStyle w:val="FootnoteText"/>
      </w:pPr>
      <w:r>
        <w:rPr>
          <w:rStyle w:val="FootnoteReference"/>
        </w:rPr>
        <w:footnoteRef/>
      </w:r>
      <w:r>
        <w:t xml:space="preserve"> </w:t>
      </w:r>
      <w:r w:rsidRPr="00E970E3">
        <w:rPr>
          <w:rFonts w:ascii="Times New Roman" w:hAnsi="Times New Roman" w:cs="Times New Roman"/>
        </w:rPr>
        <w:t>https://ies-svn.jrc.ec.europa.eu/attachments/download/1589/INSPIRE_reporting_datasets_list_MIG-T_meeting.pdf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D120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3AB2C84"/>
    <w:multiLevelType w:val="multilevel"/>
    <w:tmpl w:val="AD7E394E"/>
    <w:lvl w:ilvl="0">
      <w:start w:val="1"/>
      <w:numFmt w:val="decimal"/>
      <w:lvlText w:val="%1"/>
      <w:lvlJc w:val="left"/>
      <w:pPr>
        <w:tabs>
          <w:tab w:val="num" w:pos="0"/>
        </w:tabs>
        <w:ind w:left="284" w:hanging="284"/>
      </w:pPr>
      <w:rPr>
        <w:rFonts w:hint="default"/>
      </w:rPr>
    </w:lvl>
    <w:lvl w:ilvl="1">
      <w:start w:val="1"/>
      <w:numFmt w:val="decimal"/>
      <w:pStyle w:val="Heading2"/>
      <w:lvlText w:val="%1.%2"/>
      <w:lvlJc w:val="left"/>
      <w:pPr>
        <w:tabs>
          <w:tab w:val="num" w:pos="0"/>
        </w:tabs>
        <w:ind w:left="567" w:hanging="567"/>
      </w:pPr>
      <w:rPr>
        <w:rFonts w:hint="default"/>
        <w:color w:val="auto"/>
      </w:rPr>
    </w:lvl>
    <w:lvl w:ilvl="2">
      <w:start w:val="1"/>
      <w:numFmt w:val="decimal"/>
      <w:pStyle w:val="Heading3"/>
      <w:lvlText w:val="%1.%2.%3"/>
      <w:lvlJc w:val="left"/>
      <w:pPr>
        <w:tabs>
          <w:tab w:val="num" w:pos="0"/>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91938147">
    <w:abstractNumId w:val="1"/>
  </w:num>
  <w:num w:numId="2" w16cid:durableId="447552033">
    <w:abstractNumId w:val="1"/>
  </w:num>
  <w:num w:numId="3" w16cid:durableId="736123669">
    <w:abstractNumId w:val="0"/>
  </w:num>
  <w:num w:numId="4" w16cid:durableId="192696566">
    <w:abstractNumId w:val="0"/>
  </w:num>
  <w:num w:numId="5" w16cid:durableId="1091046900">
    <w:abstractNumId w:val="0"/>
  </w:num>
  <w:num w:numId="6" w16cid:durableId="189087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17"/>
    <w:rsid w:val="000325D5"/>
    <w:rsid w:val="00071BAB"/>
    <w:rsid w:val="00111C8D"/>
    <w:rsid w:val="0012763D"/>
    <w:rsid w:val="00141133"/>
    <w:rsid w:val="001863BE"/>
    <w:rsid w:val="002C560E"/>
    <w:rsid w:val="003769BB"/>
    <w:rsid w:val="0039785F"/>
    <w:rsid w:val="00510E67"/>
    <w:rsid w:val="00524669"/>
    <w:rsid w:val="00532C02"/>
    <w:rsid w:val="00540FC2"/>
    <w:rsid w:val="00591086"/>
    <w:rsid w:val="00600FF9"/>
    <w:rsid w:val="006A07BF"/>
    <w:rsid w:val="006C6B10"/>
    <w:rsid w:val="006F212A"/>
    <w:rsid w:val="00730A17"/>
    <w:rsid w:val="007459E9"/>
    <w:rsid w:val="00794BC5"/>
    <w:rsid w:val="007B65F1"/>
    <w:rsid w:val="007E5E47"/>
    <w:rsid w:val="00815D03"/>
    <w:rsid w:val="008252E2"/>
    <w:rsid w:val="00851C18"/>
    <w:rsid w:val="008816C8"/>
    <w:rsid w:val="008B77F8"/>
    <w:rsid w:val="00903F61"/>
    <w:rsid w:val="009200F7"/>
    <w:rsid w:val="00966AE9"/>
    <w:rsid w:val="009676A4"/>
    <w:rsid w:val="00A339C3"/>
    <w:rsid w:val="00AE605A"/>
    <w:rsid w:val="00AE6D10"/>
    <w:rsid w:val="00AE7FA6"/>
    <w:rsid w:val="00B156B9"/>
    <w:rsid w:val="00B25BB0"/>
    <w:rsid w:val="00B27CAB"/>
    <w:rsid w:val="00B379CD"/>
    <w:rsid w:val="00B85985"/>
    <w:rsid w:val="00C36179"/>
    <w:rsid w:val="00C54B47"/>
    <w:rsid w:val="00C5659B"/>
    <w:rsid w:val="00C63423"/>
    <w:rsid w:val="00CE5941"/>
    <w:rsid w:val="00CF749E"/>
    <w:rsid w:val="00D17AFB"/>
    <w:rsid w:val="00D235DC"/>
    <w:rsid w:val="00DA6A45"/>
    <w:rsid w:val="00DB076C"/>
    <w:rsid w:val="00E17F25"/>
    <w:rsid w:val="00E34EC2"/>
    <w:rsid w:val="00E54A64"/>
    <w:rsid w:val="00E970E3"/>
    <w:rsid w:val="00EA02E6"/>
    <w:rsid w:val="00F23B65"/>
    <w:rsid w:val="00F27FA6"/>
    <w:rsid w:val="00F61E99"/>
    <w:rsid w:val="00F954FE"/>
    <w:rsid w:val="00F9739E"/>
    <w:rsid w:val="00FB29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B52C"/>
  <w15:chartTrackingRefBased/>
  <w15:docId w15:val="{537A79ED-08D6-446D-A7CF-B82029CD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DC"/>
    <w:rPr>
      <w:rFonts w:ascii="Arial" w:hAnsi="Arial" w:cs="Arial"/>
      <w:szCs w:val="18"/>
      <w:lang w:eastAsia="en-US"/>
    </w:rPr>
  </w:style>
  <w:style w:type="paragraph" w:styleId="Heading1">
    <w:name w:val="heading 1"/>
    <w:aliases w:val="chapitre,Titre 11,t1.T1.Titre 1,t1,TITRE 1 SL"/>
    <w:basedOn w:val="Normal"/>
    <w:next w:val="Normal"/>
    <w:link w:val="Heading1Char"/>
    <w:qFormat/>
    <w:rsid w:val="00D235DC"/>
    <w:pPr>
      <w:keepNext/>
      <w:spacing w:before="240" w:after="60"/>
      <w:outlineLvl w:val="0"/>
    </w:pPr>
    <w:rPr>
      <w:b/>
      <w:bCs/>
      <w:kern w:val="32"/>
      <w:sz w:val="32"/>
      <w:szCs w:val="32"/>
    </w:rPr>
  </w:style>
  <w:style w:type="paragraph" w:styleId="Heading2">
    <w:name w:val="heading 2"/>
    <w:aliases w:val="Niveau 2,H2,paragraphe,t2,h2"/>
    <w:basedOn w:val="Normal"/>
    <w:next w:val="Normal"/>
    <w:link w:val="Heading2Char"/>
    <w:qFormat/>
    <w:rsid w:val="00D235DC"/>
    <w:pPr>
      <w:keepNext/>
      <w:numPr>
        <w:ilvl w:val="1"/>
        <w:numId w:val="2"/>
      </w:numPr>
      <w:spacing w:before="240"/>
      <w:outlineLvl w:val="1"/>
    </w:pPr>
    <w:rPr>
      <w:rFonts w:ascii="Calibri" w:hAnsi="Calibri" w:cs="Times New Roman"/>
      <w:b/>
      <w:sz w:val="22"/>
      <w:szCs w:val="24"/>
      <w:lang w:val="x-none" w:eastAsia="x-none"/>
    </w:rPr>
  </w:style>
  <w:style w:type="paragraph" w:styleId="Heading3">
    <w:name w:val="heading 3"/>
    <w:basedOn w:val="Normal"/>
    <w:next w:val="Normal"/>
    <w:link w:val="Heading3Char"/>
    <w:qFormat/>
    <w:rsid w:val="00D235DC"/>
    <w:pPr>
      <w:keepNext/>
      <w:numPr>
        <w:ilvl w:val="2"/>
        <w:numId w:val="2"/>
      </w:numPr>
      <w:spacing w:before="240"/>
      <w:outlineLvl w:val="2"/>
    </w:pPr>
    <w:rPr>
      <w:rFonts w:ascii="Calibri" w:hAnsi="Calibri" w:cs="Times New Roman"/>
      <w:i/>
      <w:sz w:val="22"/>
      <w:szCs w:val="22"/>
      <w:lang w:val="x-none" w:eastAsia="x-none"/>
    </w:rPr>
  </w:style>
  <w:style w:type="paragraph" w:styleId="Heading4">
    <w:name w:val="heading 4"/>
    <w:basedOn w:val="Normal"/>
    <w:next w:val="Normal"/>
    <w:link w:val="Heading4Char"/>
    <w:qFormat/>
    <w:rsid w:val="00D235DC"/>
    <w:pPr>
      <w:keepNext/>
      <w:tabs>
        <w:tab w:val="left" w:pos="284"/>
        <w:tab w:val="left" w:pos="567"/>
        <w:tab w:val="left" w:pos="1418"/>
        <w:tab w:val="left" w:pos="1701"/>
      </w:tabs>
      <w:outlineLvl w:val="3"/>
    </w:pPr>
    <w:rPr>
      <w:rFonts w:ascii="Times New Roman" w:hAnsi="Times New Roman" w:cs="Times New Roman"/>
      <w:b/>
      <w:sz w:val="24"/>
      <w:szCs w:val="20"/>
      <w:lang w:val="x-none" w:eastAsia="zh-CN"/>
    </w:rPr>
  </w:style>
  <w:style w:type="paragraph" w:styleId="Heading5">
    <w:name w:val="heading 5"/>
    <w:basedOn w:val="Normal"/>
    <w:next w:val="Normal"/>
    <w:link w:val="Heading5Char"/>
    <w:qFormat/>
    <w:rsid w:val="00D235DC"/>
    <w:pPr>
      <w:keepNext/>
      <w:outlineLvl w:val="4"/>
    </w:pPr>
    <w:rPr>
      <w:rFonts w:ascii="Times New Roman" w:hAnsi="Times New Roman" w:cs="Times New Roman"/>
      <w:i/>
      <w:sz w:val="24"/>
      <w:szCs w:val="20"/>
      <w:lang w:eastAsia="zh-CN"/>
    </w:rPr>
  </w:style>
  <w:style w:type="paragraph" w:styleId="Heading6">
    <w:name w:val="heading 6"/>
    <w:basedOn w:val="Normal"/>
    <w:next w:val="Normal"/>
    <w:link w:val="Heading6Char"/>
    <w:uiPriority w:val="9"/>
    <w:semiHidden/>
    <w:unhideWhenUsed/>
    <w:qFormat/>
    <w:rsid w:val="00D235DC"/>
    <w:pPr>
      <w:keepNext/>
      <w:keepLines/>
      <w:numPr>
        <w:ilvl w:val="5"/>
        <w:numId w:val="6"/>
      </w:numPr>
      <w:spacing w:before="200"/>
      <w:outlineLvl w:val="5"/>
    </w:pPr>
    <w:rPr>
      <w:rFonts w:ascii="Cambria" w:eastAsia="MS Gothic" w:hAnsi="Cambria" w:cs="Times New Roman"/>
      <w:i/>
      <w:iCs/>
      <w:color w:val="243F60"/>
      <w:sz w:val="22"/>
      <w:szCs w:val="22"/>
    </w:rPr>
  </w:style>
  <w:style w:type="paragraph" w:styleId="Heading7">
    <w:name w:val="heading 7"/>
    <w:basedOn w:val="Normal"/>
    <w:next w:val="Normal"/>
    <w:link w:val="Heading7Char"/>
    <w:uiPriority w:val="9"/>
    <w:semiHidden/>
    <w:unhideWhenUsed/>
    <w:qFormat/>
    <w:rsid w:val="00D235DC"/>
    <w:pPr>
      <w:keepNext/>
      <w:keepLines/>
      <w:numPr>
        <w:ilvl w:val="6"/>
        <w:numId w:val="6"/>
      </w:numPr>
      <w:spacing w:before="200"/>
      <w:outlineLvl w:val="6"/>
    </w:pPr>
    <w:rPr>
      <w:rFonts w:ascii="Cambria" w:eastAsia="MS Gothic" w:hAnsi="Cambria" w:cs="Times New Roman"/>
      <w:i/>
      <w:iCs/>
      <w:color w:val="404040"/>
      <w:sz w:val="22"/>
      <w:szCs w:val="22"/>
    </w:rPr>
  </w:style>
  <w:style w:type="paragraph" w:styleId="Heading8">
    <w:name w:val="heading 8"/>
    <w:basedOn w:val="Normal"/>
    <w:next w:val="Normal"/>
    <w:link w:val="Heading8Char"/>
    <w:uiPriority w:val="9"/>
    <w:semiHidden/>
    <w:unhideWhenUsed/>
    <w:qFormat/>
    <w:rsid w:val="00D235DC"/>
    <w:pPr>
      <w:keepNext/>
      <w:keepLines/>
      <w:numPr>
        <w:ilvl w:val="7"/>
        <w:numId w:val="6"/>
      </w:numPr>
      <w:spacing w:before="200"/>
      <w:outlineLvl w:val="7"/>
    </w:pPr>
    <w:rPr>
      <w:rFonts w:ascii="Cambria" w:eastAsia="MS Gothic" w:hAnsi="Cambria" w:cs="Times New Roman"/>
      <w:color w:val="404040"/>
      <w:szCs w:val="22"/>
    </w:rPr>
  </w:style>
  <w:style w:type="paragraph" w:styleId="Heading9">
    <w:name w:val="heading 9"/>
    <w:basedOn w:val="Normal"/>
    <w:next w:val="Normal"/>
    <w:link w:val="Heading9Char"/>
    <w:uiPriority w:val="9"/>
    <w:semiHidden/>
    <w:unhideWhenUsed/>
    <w:qFormat/>
    <w:rsid w:val="00D235DC"/>
    <w:pPr>
      <w:keepNext/>
      <w:keepLines/>
      <w:numPr>
        <w:ilvl w:val="8"/>
        <w:numId w:val="6"/>
      </w:numPr>
      <w:spacing w:before="200"/>
      <w:outlineLvl w:val="8"/>
    </w:pPr>
    <w:rPr>
      <w:rFonts w:ascii="Cambria" w:eastAsia="MS Gothic" w:hAnsi="Cambria" w:cs="Times New Roman"/>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rsid w:val="00D235DC"/>
    <w:rPr>
      <w:rFonts w:ascii="Arial" w:hAnsi="Arial" w:cs="Arial"/>
      <w:b/>
      <w:bCs/>
      <w:kern w:val="32"/>
      <w:sz w:val="32"/>
      <w:szCs w:val="32"/>
    </w:rPr>
  </w:style>
  <w:style w:type="paragraph" w:styleId="ListParagraph">
    <w:name w:val="List Paragraph"/>
    <w:basedOn w:val="Normal"/>
    <w:uiPriority w:val="34"/>
    <w:qFormat/>
    <w:rsid w:val="00D235DC"/>
    <w:pPr>
      <w:ind w:left="720"/>
      <w:contextualSpacing/>
    </w:pPr>
    <w:rPr>
      <w:rFonts w:ascii="Times New Roman" w:hAnsi="Times New Roman" w:cs="Times New Roman"/>
      <w:sz w:val="24"/>
      <w:szCs w:val="24"/>
      <w:lang w:eastAsia="ja-JP"/>
    </w:rPr>
  </w:style>
  <w:style w:type="paragraph" w:styleId="Title">
    <w:name w:val="Title"/>
    <w:basedOn w:val="Normal"/>
    <w:next w:val="Normal"/>
    <w:link w:val="TitleChar"/>
    <w:qFormat/>
    <w:rsid w:val="00D235DC"/>
    <w:pPr>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rsid w:val="00D235DC"/>
    <w:rPr>
      <w:rFonts w:eastAsia="MS Gothic" w:cs="Times New Roman"/>
      <w:b/>
      <w:bCs/>
      <w:kern w:val="28"/>
      <w:sz w:val="32"/>
      <w:szCs w:val="32"/>
    </w:rPr>
  </w:style>
  <w:style w:type="character" w:customStyle="1" w:styleId="Heading2Char">
    <w:name w:val="Heading 2 Char"/>
    <w:aliases w:val="Niveau 2 Char,H2 Char,paragraphe Char,t2 Char,h2 Char"/>
    <w:link w:val="Heading2"/>
    <w:rsid w:val="00D235DC"/>
    <w:rPr>
      <w:rFonts w:ascii="Calibri" w:eastAsia="Calibri" w:hAnsi="Calibri"/>
      <w:b/>
      <w:sz w:val="22"/>
      <w:szCs w:val="24"/>
    </w:rPr>
  </w:style>
  <w:style w:type="character" w:customStyle="1" w:styleId="Heading3Char">
    <w:name w:val="Heading 3 Char"/>
    <w:link w:val="Heading3"/>
    <w:rsid w:val="00D235DC"/>
    <w:rPr>
      <w:rFonts w:ascii="Calibri" w:eastAsia="Calibri" w:hAnsi="Calibri" w:cs="Times New Roman"/>
      <w:i/>
      <w:sz w:val="22"/>
      <w:szCs w:val="22"/>
    </w:rPr>
  </w:style>
  <w:style w:type="character" w:customStyle="1" w:styleId="Heading4Char">
    <w:name w:val="Heading 4 Char"/>
    <w:link w:val="Heading4"/>
    <w:rsid w:val="00D235DC"/>
    <w:rPr>
      <w:rFonts w:ascii="Times New Roman" w:eastAsia="Calibri" w:hAnsi="Times New Roman"/>
      <w:b/>
      <w:sz w:val="24"/>
      <w:lang w:eastAsia="zh-CN"/>
    </w:rPr>
  </w:style>
  <w:style w:type="character" w:customStyle="1" w:styleId="Heading5Char">
    <w:name w:val="Heading 5 Char"/>
    <w:basedOn w:val="DefaultParagraphFont"/>
    <w:link w:val="Heading5"/>
    <w:rsid w:val="00D235DC"/>
    <w:rPr>
      <w:rFonts w:ascii="Times New Roman" w:eastAsia="Calibri" w:hAnsi="Times New Roman"/>
      <w:i/>
      <w:sz w:val="24"/>
      <w:lang w:eastAsia="zh-CN"/>
    </w:rPr>
  </w:style>
  <w:style w:type="character" w:customStyle="1" w:styleId="Heading6Char">
    <w:name w:val="Heading 6 Char"/>
    <w:basedOn w:val="DefaultParagraphFont"/>
    <w:link w:val="Heading6"/>
    <w:uiPriority w:val="9"/>
    <w:semiHidden/>
    <w:rsid w:val="00D235DC"/>
    <w:rPr>
      <w:rFonts w:eastAsia="MS Gothic"/>
      <w:i/>
      <w:iCs/>
      <w:color w:val="243F60"/>
      <w:sz w:val="22"/>
      <w:szCs w:val="22"/>
    </w:rPr>
  </w:style>
  <w:style w:type="character" w:customStyle="1" w:styleId="Heading7Char">
    <w:name w:val="Heading 7 Char"/>
    <w:basedOn w:val="DefaultParagraphFont"/>
    <w:link w:val="Heading7"/>
    <w:uiPriority w:val="9"/>
    <w:semiHidden/>
    <w:rsid w:val="00D235DC"/>
    <w:rPr>
      <w:rFonts w:eastAsia="MS Gothic"/>
      <w:i/>
      <w:iCs/>
      <w:color w:val="404040"/>
      <w:sz w:val="22"/>
      <w:szCs w:val="22"/>
    </w:rPr>
  </w:style>
  <w:style w:type="character" w:customStyle="1" w:styleId="Heading8Char">
    <w:name w:val="Heading 8 Char"/>
    <w:basedOn w:val="DefaultParagraphFont"/>
    <w:link w:val="Heading8"/>
    <w:uiPriority w:val="9"/>
    <w:semiHidden/>
    <w:rsid w:val="00D235DC"/>
    <w:rPr>
      <w:rFonts w:eastAsia="MS Gothic"/>
      <w:color w:val="404040"/>
      <w:szCs w:val="22"/>
    </w:rPr>
  </w:style>
  <w:style w:type="character" w:customStyle="1" w:styleId="Heading9Char">
    <w:name w:val="Heading 9 Char"/>
    <w:basedOn w:val="DefaultParagraphFont"/>
    <w:link w:val="Heading9"/>
    <w:uiPriority w:val="9"/>
    <w:semiHidden/>
    <w:rsid w:val="00D235DC"/>
    <w:rPr>
      <w:rFonts w:ascii="Cambria" w:eastAsia="MS Gothic" w:hAnsi="Cambria" w:cs="Times New Roman"/>
      <w:i/>
      <w:iCs/>
      <w:color w:val="404040"/>
      <w:szCs w:val="22"/>
    </w:rPr>
  </w:style>
  <w:style w:type="paragraph" w:styleId="Caption">
    <w:name w:val="caption"/>
    <w:basedOn w:val="Normal"/>
    <w:next w:val="Normal"/>
    <w:qFormat/>
    <w:rsid w:val="00D235DC"/>
    <w:rPr>
      <w:rFonts w:eastAsia="Times New Roman"/>
      <w:b/>
    </w:rPr>
  </w:style>
  <w:style w:type="paragraph" w:styleId="Subtitle">
    <w:name w:val="Subtitle"/>
    <w:basedOn w:val="Normal"/>
    <w:next w:val="Normal"/>
    <w:link w:val="SubtitleChar"/>
    <w:uiPriority w:val="11"/>
    <w:qFormat/>
    <w:rsid w:val="00D235DC"/>
    <w:pPr>
      <w:widowControl w:val="0"/>
      <w:numPr>
        <w:ilvl w:val="1"/>
      </w:numPr>
      <w:spacing w:line="240" w:lineRule="exact"/>
      <w:jc w:val="both"/>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D235DC"/>
    <w:rPr>
      <w:rFonts w:ascii="Cambria" w:eastAsia="MS Gothic" w:hAnsi="Cambria" w:cs="Times New Roman"/>
      <w:i/>
      <w:iCs/>
      <w:color w:val="4F81BD"/>
      <w:spacing w:val="15"/>
      <w:sz w:val="24"/>
      <w:szCs w:val="24"/>
    </w:rPr>
  </w:style>
  <w:style w:type="character" w:styleId="Strong">
    <w:name w:val="Strong"/>
    <w:basedOn w:val="DefaultParagraphFont"/>
    <w:uiPriority w:val="22"/>
    <w:qFormat/>
    <w:rsid w:val="00D235DC"/>
    <w:rPr>
      <w:b/>
      <w:bCs/>
    </w:rPr>
  </w:style>
  <w:style w:type="character" w:styleId="Emphasis">
    <w:name w:val="Emphasis"/>
    <w:basedOn w:val="DefaultParagraphFont"/>
    <w:uiPriority w:val="20"/>
    <w:qFormat/>
    <w:rsid w:val="00D235DC"/>
    <w:rPr>
      <w:i/>
    </w:rPr>
  </w:style>
  <w:style w:type="paragraph" w:styleId="NoSpacing">
    <w:name w:val="No Spacing"/>
    <w:uiPriority w:val="99"/>
    <w:qFormat/>
    <w:rsid w:val="00D235DC"/>
    <w:pPr>
      <w:widowControl w:val="0"/>
      <w:jc w:val="both"/>
    </w:pPr>
    <w:rPr>
      <w:rFonts w:ascii="EC Square Sans Pro" w:hAnsi="EC Square Sans Pro"/>
      <w:sz w:val="16"/>
      <w:szCs w:val="16"/>
      <w:lang w:val="en-US" w:eastAsia="en-US"/>
    </w:rPr>
  </w:style>
  <w:style w:type="paragraph" w:styleId="Quote">
    <w:name w:val="Quote"/>
    <w:basedOn w:val="Normal"/>
    <w:next w:val="Normal"/>
    <w:link w:val="QuoteChar"/>
    <w:uiPriority w:val="73"/>
    <w:qFormat/>
    <w:rsid w:val="00D235DC"/>
    <w:pPr>
      <w:widowControl w:val="0"/>
      <w:spacing w:line="240" w:lineRule="exact"/>
      <w:jc w:val="both"/>
    </w:pPr>
    <w:rPr>
      <w:rFonts w:ascii="EC Square Sans Pro" w:hAnsi="EC Square Sans Pro" w:cs="Times New Roman"/>
      <w:i/>
      <w:iCs/>
      <w:color w:val="000000"/>
      <w:sz w:val="16"/>
      <w:szCs w:val="16"/>
    </w:rPr>
  </w:style>
  <w:style w:type="character" w:customStyle="1" w:styleId="QuoteChar">
    <w:name w:val="Quote Char"/>
    <w:basedOn w:val="DefaultParagraphFont"/>
    <w:link w:val="Quote"/>
    <w:uiPriority w:val="73"/>
    <w:rsid w:val="00D235DC"/>
    <w:rPr>
      <w:rFonts w:ascii="EC Square Sans Pro" w:hAnsi="EC Square Sans Pro"/>
      <w:i/>
      <w:iCs/>
      <w:color w:val="000000"/>
      <w:sz w:val="16"/>
      <w:szCs w:val="16"/>
    </w:rPr>
  </w:style>
  <w:style w:type="paragraph" w:styleId="IntenseQuote">
    <w:name w:val="Intense Quote"/>
    <w:basedOn w:val="Normal"/>
    <w:next w:val="Normal"/>
    <w:link w:val="IntenseQuoteChar"/>
    <w:uiPriority w:val="60"/>
    <w:qFormat/>
    <w:rsid w:val="00D235DC"/>
    <w:pPr>
      <w:widowControl w:val="0"/>
      <w:pBdr>
        <w:bottom w:val="single" w:sz="4" w:space="4" w:color="4F81BD"/>
      </w:pBdr>
      <w:spacing w:before="200" w:after="280" w:line="240" w:lineRule="exact"/>
      <w:ind w:left="936" w:right="936"/>
      <w:jc w:val="both"/>
    </w:pPr>
    <w:rPr>
      <w:rFonts w:ascii="EC Square Sans Pro" w:hAnsi="EC Square Sans Pro" w:cs="Times New Roman"/>
      <w:b/>
      <w:bCs/>
      <w:i/>
      <w:iCs/>
      <w:color w:val="4F81BD"/>
      <w:sz w:val="16"/>
      <w:szCs w:val="16"/>
    </w:rPr>
  </w:style>
  <w:style w:type="character" w:customStyle="1" w:styleId="IntenseQuoteChar">
    <w:name w:val="Intense Quote Char"/>
    <w:basedOn w:val="DefaultParagraphFont"/>
    <w:link w:val="IntenseQuote"/>
    <w:uiPriority w:val="60"/>
    <w:rsid w:val="00D235DC"/>
    <w:rPr>
      <w:rFonts w:ascii="EC Square Sans Pro" w:hAnsi="EC Square Sans Pro"/>
      <w:b/>
      <w:bCs/>
      <w:i/>
      <w:iCs/>
      <w:color w:val="4F81BD"/>
      <w:sz w:val="16"/>
      <w:szCs w:val="16"/>
    </w:rPr>
  </w:style>
  <w:style w:type="character" w:styleId="SubtleEmphasis">
    <w:name w:val="Subtle Emphasis"/>
    <w:basedOn w:val="DefaultParagraphFont"/>
    <w:uiPriority w:val="65"/>
    <w:qFormat/>
    <w:rsid w:val="00D235DC"/>
    <w:rPr>
      <w:i/>
      <w:iCs/>
      <w:color w:val="808080"/>
    </w:rPr>
  </w:style>
  <w:style w:type="character" w:styleId="IntenseEmphasis">
    <w:name w:val="Intense Emphasis"/>
    <w:basedOn w:val="DefaultParagraphFont"/>
    <w:uiPriority w:val="66"/>
    <w:qFormat/>
    <w:rsid w:val="00D235DC"/>
    <w:rPr>
      <w:b/>
      <w:bCs/>
      <w:i/>
      <w:iCs/>
      <w:color w:val="4F81BD"/>
    </w:rPr>
  </w:style>
  <w:style w:type="character" w:styleId="SubtleReference">
    <w:name w:val="Subtle Reference"/>
    <w:basedOn w:val="DefaultParagraphFont"/>
    <w:uiPriority w:val="67"/>
    <w:qFormat/>
    <w:rsid w:val="00D235DC"/>
    <w:rPr>
      <w:smallCaps/>
      <w:color w:val="C0504D"/>
      <w:u w:val="single"/>
    </w:rPr>
  </w:style>
  <w:style w:type="character" w:styleId="IntenseReference">
    <w:name w:val="Intense Reference"/>
    <w:basedOn w:val="DefaultParagraphFont"/>
    <w:uiPriority w:val="68"/>
    <w:qFormat/>
    <w:rsid w:val="00D235DC"/>
    <w:rPr>
      <w:b w:val="0"/>
      <w:bCs/>
      <w:smallCaps/>
      <w:color w:val="auto"/>
      <w:spacing w:val="5"/>
      <w:u w:val="none"/>
    </w:rPr>
  </w:style>
  <w:style w:type="character" w:styleId="BookTitle">
    <w:name w:val="Book Title"/>
    <w:basedOn w:val="DefaultParagraphFont"/>
    <w:uiPriority w:val="69"/>
    <w:qFormat/>
    <w:rsid w:val="00D235DC"/>
    <w:rPr>
      <w:b/>
      <w:bCs/>
      <w:smallCaps/>
      <w:spacing w:val="5"/>
    </w:rPr>
  </w:style>
  <w:style w:type="paragraph" w:styleId="TOCHeading">
    <w:name w:val="TOC Heading"/>
    <w:basedOn w:val="Heading1"/>
    <w:next w:val="Normal"/>
    <w:uiPriority w:val="39"/>
    <w:unhideWhenUsed/>
    <w:qFormat/>
    <w:rsid w:val="00D235DC"/>
    <w:pPr>
      <w:keepLines/>
      <w:spacing w:after="0"/>
      <w:outlineLvl w:val="9"/>
    </w:pPr>
    <w:rPr>
      <w:rFonts w:ascii="Cambria" w:eastAsia="MS Gothic" w:hAnsi="Cambria" w:cs="Times New Roman"/>
      <w:b w:val="0"/>
      <w:bCs w:val="0"/>
      <w:color w:val="365F91"/>
      <w:kern w:val="0"/>
    </w:rPr>
  </w:style>
  <w:style w:type="paragraph" w:styleId="BodyText2">
    <w:name w:val="Body Text 2"/>
    <w:basedOn w:val="Normal"/>
    <w:link w:val="BodyText2Char"/>
    <w:semiHidden/>
    <w:rsid w:val="009200F7"/>
    <w:pPr>
      <w:suppressAutoHyphens/>
      <w:jc w:val="center"/>
    </w:pPr>
    <w:rPr>
      <w:rFonts w:ascii="Times New Roman" w:eastAsia="Times New Roman" w:hAnsi="Times New Roman" w:cs="Times New Roman"/>
      <w:b/>
      <w:color w:val="0000FF"/>
      <w:sz w:val="24"/>
      <w:szCs w:val="20"/>
      <w:lang w:eastAsia="ja-JP"/>
    </w:rPr>
  </w:style>
  <w:style w:type="character" w:customStyle="1" w:styleId="BodyText2Char">
    <w:name w:val="Body Text 2 Char"/>
    <w:basedOn w:val="DefaultParagraphFont"/>
    <w:link w:val="BodyText2"/>
    <w:semiHidden/>
    <w:rsid w:val="009200F7"/>
    <w:rPr>
      <w:rFonts w:ascii="Times New Roman" w:eastAsia="Times New Roman" w:hAnsi="Times New Roman"/>
      <w:b/>
      <w:color w:val="0000FF"/>
      <w:sz w:val="24"/>
      <w:lang w:eastAsia="ja-JP"/>
    </w:rPr>
  </w:style>
  <w:style w:type="paragraph" w:styleId="FootnoteText">
    <w:name w:val="footnote text"/>
    <w:basedOn w:val="Normal"/>
    <w:link w:val="FootnoteTextChar"/>
    <w:semiHidden/>
    <w:unhideWhenUsed/>
    <w:rsid w:val="009200F7"/>
    <w:rPr>
      <w:szCs w:val="20"/>
    </w:rPr>
  </w:style>
  <w:style w:type="character" w:customStyle="1" w:styleId="FootnoteTextChar">
    <w:name w:val="Footnote Text Char"/>
    <w:basedOn w:val="DefaultParagraphFont"/>
    <w:link w:val="FootnoteText"/>
    <w:semiHidden/>
    <w:rsid w:val="009200F7"/>
    <w:rPr>
      <w:rFonts w:ascii="Arial" w:hAnsi="Arial" w:cs="Arial"/>
      <w:lang w:eastAsia="en-US"/>
    </w:rPr>
  </w:style>
  <w:style w:type="character" w:styleId="FootnoteReference">
    <w:name w:val="footnote reference"/>
    <w:semiHidden/>
    <w:unhideWhenUsed/>
    <w:rsid w:val="009200F7"/>
    <w:rPr>
      <w:vertAlign w:val="superscript"/>
    </w:rPr>
  </w:style>
  <w:style w:type="character" w:styleId="Hyperlink">
    <w:name w:val="Hyperlink"/>
    <w:semiHidden/>
    <w:unhideWhenUsed/>
    <w:rsid w:val="00920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D77D9-8D23-48B9-A389-05A3D8F2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12535</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Tuchyna</dc:creator>
  <cp:keywords/>
  <cp:lastModifiedBy>Adriana Žbirková</cp:lastModifiedBy>
  <cp:revision>2</cp:revision>
  <dcterms:created xsi:type="dcterms:W3CDTF">2022-12-17T13:18:00Z</dcterms:created>
  <dcterms:modified xsi:type="dcterms:W3CDTF">2022-12-17T13:18:00Z</dcterms:modified>
</cp:coreProperties>
</file>